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07ACAF58"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6350F4">
        <w:rPr>
          <w:sz w:val="24"/>
          <w:lang w:eastAsia="zh-CN"/>
        </w:rPr>
        <w:t>3</w:t>
      </w:r>
      <w:r w:rsidR="003C713F">
        <w:rPr>
          <w:sz w:val="24"/>
          <w:lang w:eastAsia="zh-CN"/>
        </w:rPr>
        <w:tab/>
      </w:r>
      <w:r>
        <w:rPr>
          <w:sz w:val="24"/>
          <w:lang w:eastAsia="zh-CN"/>
        </w:rPr>
        <w:t xml:space="preserve">                </w:t>
      </w:r>
      <w:r>
        <w:rPr>
          <w:bCs/>
          <w:sz w:val="24"/>
        </w:rPr>
        <w:t xml:space="preserve">                                    </w:t>
      </w:r>
      <w:r w:rsidR="0060439C" w:rsidRPr="0060439C">
        <w:rPr>
          <w:bCs/>
          <w:sz w:val="24"/>
        </w:rPr>
        <w:t>R2-2308355</w:t>
      </w:r>
      <w:bookmarkStart w:id="1" w:name="_GoBack"/>
      <w:bookmarkEnd w:id="1"/>
    </w:p>
    <w:p w14:paraId="79594CDC" w14:textId="3E8A72B7" w:rsidR="00534F34" w:rsidRDefault="006350F4">
      <w:pPr>
        <w:pStyle w:val="CRCoverPage"/>
        <w:outlineLvl w:val="0"/>
        <w:rPr>
          <w:b/>
          <w:sz w:val="24"/>
        </w:rPr>
      </w:pPr>
      <w:r>
        <w:rPr>
          <w:b/>
          <w:sz w:val="24"/>
        </w:rPr>
        <w:t>Toulouse</w:t>
      </w:r>
      <w:r w:rsidR="0089536B">
        <w:rPr>
          <w:b/>
          <w:sz w:val="24"/>
        </w:rPr>
        <w:t xml:space="preserve">, </w:t>
      </w:r>
      <w:r>
        <w:rPr>
          <w:b/>
          <w:sz w:val="24"/>
        </w:rPr>
        <w:t>France</w:t>
      </w:r>
      <w:r w:rsidR="008E0E92">
        <w:rPr>
          <w:b/>
          <w:sz w:val="24"/>
        </w:rPr>
        <w:t xml:space="preserve">, </w:t>
      </w:r>
      <w:r w:rsidR="003C713F">
        <w:rPr>
          <w:b/>
          <w:sz w:val="24"/>
        </w:rPr>
        <w:t>2</w:t>
      </w:r>
      <w:r>
        <w:rPr>
          <w:b/>
          <w:sz w:val="24"/>
        </w:rPr>
        <w:t>1</w:t>
      </w:r>
      <w:r w:rsidR="008E0E92">
        <w:rPr>
          <w:b/>
          <w:sz w:val="24"/>
        </w:rPr>
        <w:t xml:space="preserve"> </w:t>
      </w:r>
      <w:r w:rsidR="00E31201">
        <w:rPr>
          <w:b/>
          <w:sz w:val="24"/>
        </w:rPr>
        <w:t>– 2</w:t>
      </w:r>
      <w:r>
        <w:rPr>
          <w:b/>
          <w:sz w:val="24"/>
        </w:rPr>
        <w:t>5</w:t>
      </w:r>
      <w:r w:rsidR="00E31201">
        <w:rPr>
          <w:b/>
          <w:sz w:val="24"/>
        </w:rPr>
        <w:t xml:space="preserve"> </w:t>
      </w:r>
      <w:r>
        <w:rPr>
          <w:b/>
          <w:sz w:val="24"/>
        </w:rPr>
        <w:t>August</w:t>
      </w:r>
      <w:r w:rsidR="008E0E92">
        <w:rPr>
          <w:b/>
          <w:sz w:val="24"/>
        </w:rPr>
        <w:t>, 202</w:t>
      </w:r>
      <w:r w:rsidR="004A40F1">
        <w:rPr>
          <w:b/>
          <w:sz w:val="24"/>
        </w:rPr>
        <w:t>3</w:t>
      </w:r>
    </w:p>
    <w:p w14:paraId="71E6874F" w14:textId="77777777" w:rsidR="00534F34" w:rsidRDefault="00534F34">
      <w:pPr>
        <w:pStyle w:val="Header"/>
        <w:rPr>
          <w:bCs/>
          <w:sz w:val="24"/>
          <w:lang w:val="en-GB" w:eastAsia="ja-JP"/>
        </w:rPr>
      </w:pPr>
    </w:p>
    <w:p w14:paraId="33E1D76A" w14:textId="6558FC5E"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31201">
        <w:rPr>
          <w:rFonts w:cs="Arial"/>
          <w:bCs/>
          <w:sz w:val="24"/>
          <w:lang w:val="en-US"/>
        </w:rPr>
        <w:t>7</w:t>
      </w:r>
      <w:r w:rsidRPr="00FC39A9">
        <w:rPr>
          <w:rFonts w:cs="Arial"/>
          <w:bCs/>
          <w:sz w:val="24"/>
          <w:lang w:val="en-US"/>
        </w:rPr>
        <w:t>.14.</w:t>
      </w:r>
      <w:r w:rsidR="009673EF">
        <w:rPr>
          <w:rFonts w:cs="Arial"/>
          <w:bCs/>
          <w:sz w:val="24"/>
          <w:lang w:val="en-US"/>
        </w:rPr>
        <w:t>4</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57B6A125"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Pr>
          <w:rFonts w:ascii="Arial" w:hAnsi="Arial" w:cs="Arial" w:hint="eastAsia"/>
          <w:bCs/>
          <w:sz w:val="24"/>
          <w:lang w:eastAsia="zh-CN"/>
        </w:rPr>
        <w:t>Discussion</w:t>
      </w:r>
      <w:r>
        <w:rPr>
          <w:rFonts w:ascii="Arial" w:hAnsi="Arial" w:cs="Arial"/>
          <w:bCs/>
          <w:sz w:val="24"/>
        </w:rPr>
        <w:t xml:space="preserve"> on </w:t>
      </w:r>
      <w:r w:rsidR="009673EF">
        <w:rPr>
          <w:rFonts w:ascii="Arial" w:hAnsi="Arial" w:cs="Arial" w:hint="eastAsia"/>
          <w:bCs/>
          <w:sz w:val="24"/>
          <w:lang w:eastAsia="zh-CN"/>
        </w:rPr>
        <w:t>QoE</w:t>
      </w:r>
      <w:r w:rsidR="009673EF">
        <w:rPr>
          <w:rFonts w:ascii="Arial" w:hAnsi="Arial" w:cs="Arial"/>
          <w:bCs/>
          <w:sz w:val="24"/>
        </w:rPr>
        <w:t xml:space="preserve"> measurements </w:t>
      </w:r>
      <w:r w:rsidR="00F15D6E">
        <w:rPr>
          <w:rFonts w:ascii="Arial" w:hAnsi="Arial" w:cs="Arial"/>
          <w:bCs/>
          <w:sz w:val="24"/>
        </w:rPr>
        <w:t>in</w:t>
      </w:r>
      <w:r w:rsidR="009673EF">
        <w:rPr>
          <w:rFonts w:ascii="Arial" w:hAnsi="Arial" w:cs="Arial"/>
          <w:bCs/>
          <w:sz w:val="24"/>
        </w:rPr>
        <w:t xml:space="preserve"> NR-DC</w:t>
      </w:r>
    </w:p>
    <w:bookmarkEnd w:id="2"/>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3" w:name="Proposal_Pattern_Length"/>
    </w:p>
    <w:p w14:paraId="30770302" w14:textId="68942335" w:rsidR="00CE3DC7" w:rsidRDefault="00CE3DC7" w:rsidP="005064D1">
      <w:pPr>
        <w:spacing w:after="0"/>
        <w:rPr>
          <w:lang w:eastAsia="zh-CN"/>
        </w:rPr>
      </w:pPr>
      <w:r>
        <w:rPr>
          <w:lang w:eastAsia="zh-CN"/>
        </w:rPr>
        <w:t xml:space="preserve">For QoE measurements for NR-DC, RAN2#122 made some progress, </w:t>
      </w:r>
      <w:r w:rsidR="00F04770">
        <w:rPr>
          <w:lang w:eastAsia="zh-CN"/>
        </w:rPr>
        <w:t>but</w:t>
      </w:r>
      <w:r>
        <w:rPr>
          <w:lang w:eastAsia="zh-CN"/>
        </w:rPr>
        <w:t xml:space="preserve"> there </w:t>
      </w:r>
      <w:r w:rsidR="00F04770">
        <w:rPr>
          <w:lang w:eastAsia="zh-CN"/>
        </w:rPr>
        <w:t xml:space="preserve">are </w:t>
      </w:r>
      <w:r>
        <w:rPr>
          <w:lang w:eastAsia="zh-CN"/>
        </w:rPr>
        <w:t xml:space="preserve">some </w:t>
      </w:r>
      <w:r w:rsidR="002806C8">
        <w:rPr>
          <w:lang w:eastAsia="zh-CN"/>
        </w:rPr>
        <w:t>leftover issues</w:t>
      </w:r>
      <w:r w:rsidR="00F04770">
        <w:rPr>
          <w:lang w:eastAsia="zh-CN"/>
        </w:rPr>
        <w:t xml:space="preserve"> to resolve. In</w:t>
      </w:r>
      <w:r>
        <w:rPr>
          <w:lang w:eastAsia="zh-CN"/>
        </w:rPr>
        <w:t xml:space="preserve"> the RAN2#123 agenda, some guidance ha</w:t>
      </w:r>
      <w:r w:rsidR="00F04770">
        <w:rPr>
          <w:lang w:eastAsia="zh-CN"/>
        </w:rPr>
        <w:t>s</w:t>
      </w:r>
      <w:r>
        <w:rPr>
          <w:lang w:eastAsia="zh-CN"/>
        </w:rPr>
        <w:t xml:space="preserve"> been put for this topic</w:t>
      </w:r>
      <w:r w:rsidR="00F04770">
        <w:rPr>
          <w:lang w:eastAsia="zh-CN"/>
        </w:rPr>
        <w:t>:</w:t>
      </w:r>
    </w:p>
    <w:p w14:paraId="05E8C6E2" w14:textId="77777777" w:rsidR="00CE3DC7" w:rsidRDefault="00CE3DC7" w:rsidP="005064D1">
      <w:pPr>
        <w:spacing w:after="0"/>
        <w:rPr>
          <w:lang w:eastAsia="zh-CN"/>
        </w:rPr>
      </w:pPr>
    </w:p>
    <w:p w14:paraId="246B6040" w14:textId="77777777" w:rsidR="00CE3DC7" w:rsidRPr="00CE3DC7" w:rsidRDefault="00CE3DC7" w:rsidP="00CE3DC7">
      <w:pPr>
        <w:spacing w:after="0"/>
        <w:rPr>
          <w:sz w:val="22"/>
          <w:lang w:eastAsia="zh-CN"/>
        </w:rPr>
      </w:pPr>
      <w:r w:rsidRPr="00CE3DC7">
        <w:rPr>
          <w:sz w:val="22"/>
          <w:lang w:eastAsia="zh-CN"/>
        </w:rPr>
        <w:t>7.14.4</w:t>
      </w:r>
      <w:r w:rsidRPr="00CE3DC7">
        <w:rPr>
          <w:sz w:val="22"/>
          <w:lang w:eastAsia="zh-CN"/>
        </w:rPr>
        <w:tab/>
        <w:t>Support of QoE measurements for NR-DC</w:t>
      </w:r>
    </w:p>
    <w:p w14:paraId="465843C0" w14:textId="77777777" w:rsidR="00CE3DC7" w:rsidRPr="00904141" w:rsidRDefault="00CE3DC7" w:rsidP="00CE3DC7">
      <w:pPr>
        <w:pStyle w:val="Comments"/>
      </w:pPr>
      <w:r w:rsidRPr="00904141">
        <w:t>Including discussion on how the QoE report transmission is handled (e.g. if the QoE report is not configured to use the currently configured SRB, whether this works if SCG is deactivated/released, what do the RAN3 agreements state on this, etc.)</w:t>
      </w:r>
    </w:p>
    <w:p w14:paraId="432C080C" w14:textId="77777777" w:rsidR="00CE3DC7" w:rsidRPr="00904141" w:rsidRDefault="00CE3DC7" w:rsidP="00CE3DC7">
      <w:pPr>
        <w:pStyle w:val="Comments"/>
      </w:pPr>
      <w:r w:rsidRPr="00904141">
        <w:t xml:space="preserve">Including discussion on how MN knows to corrrectly forward SN-associated QoE reports received via SRB4 </w:t>
      </w:r>
    </w:p>
    <w:p w14:paraId="0B3D9266" w14:textId="77777777" w:rsidR="00CE3DC7" w:rsidRDefault="00CE3DC7" w:rsidP="00CE3DC7">
      <w:pPr>
        <w:pStyle w:val="Comments"/>
      </w:pPr>
      <w:r w:rsidRPr="00904141">
        <w:t>Including discussion on RRC configuration of QoE reporting and measurements for NR-DC</w:t>
      </w:r>
    </w:p>
    <w:p w14:paraId="1D45B9C6" w14:textId="77777777" w:rsidR="00CE3DC7" w:rsidRPr="00CE3DC7" w:rsidRDefault="00CE3DC7" w:rsidP="005064D1">
      <w:pPr>
        <w:spacing w:after="0"/>
        <w:rPr>
          <w:lang w:val="en-GB" w:eastAsia="zh-CN"/>
        </w:rPr>
      </w:pPr>
    </w:p>
    <w:p w14:paraId="4EF03BC1" w14:textId="6F2936D2" w:rsidR="00534F34" w:rsidRDefault="00CE3DC7" w:rsidP="005064D1">
      <w:pPr>
        <w:spacing w:after="0"/>
        <w:rPr>
          <w:lang w:eastAsia="zh-CN"/>
        </w:rPr>
      </w:pPr>
      <w:r>
        <w:rPr>
          <w:rFonts w:hint="eastAsia"/>
          <w:lang w:eastAsia="zh-CN"/>
        </w:rPr>
        <w:t>I</w:t>
      </w:r>
      <w:r>
        <w:rPr>
          <w:lang w:eastAsia="zh-CN"/>
        </w:rPr>
        <w:t xml:space="preserve">n this paper, we will </w:t>
      </w:r>
      <w:r w:rsidR="008620EC">
        <w:rPr>
          <w:lang w:eastAsia="zh-CN"/>
        </w:rPr>
        <w:t>focus</w:t>
      </w:r>
      <w:r>
        <w:rPr>
          <w:lang w:eastAsia="zh-CN"/>
        </w:rPr>
        <w:t xml:space="preserve"> on the above guidance as well as </w:t>
      </w:r>
      <w:r w:rsidR="002806C8">
        <w:rPr>
          <w:lang w:eastAsia="zh-CN"/>
        </w:rPr>
        <w:t xml:space="preserve">leftover issues from </w:t>
      </w:r>
      <w:r>
        <w:rPr>
          <w:lang w:eastAsia="zh-CN"/>
        </w:rPr>
        <w:t>the previous RAN2 meetings.</w:t>
      </w:r>
    </w:p>
    <w:p w14:paraId="71313EBA" w14:textId="7FD9D52A" w:rsidR="00534F34" w:rsidRDefault="005064D1">
      <w:pPr>
        <w:pStyle w:val="Heading1"/>
      </w:pPr>
      <w:bookmarkStart w:id="4" w:name="_Toc462957202"/>
      <w:bookmarkStart w:id="5" w:name="_Toc463066102"/>
      <w:bookmarkStart w:id="6" w:name="_Toc462960524"/>
      <w:bookmarkStart w:id="7" w:name="_Toc462880706"/>
      <w:r>
        <w:t>Discussion</w:t>
      </w:r>
    </w:p>
    <w:p w14:paraId="62D3A3C4" w14:textId="29C9C87C" w:rsidR="005378EB" w:rsidRPr="005378EB" w:rsidRDefault="00223CBB" w:rsidP="005378EB">
      <w:pPr>
        <w:pStyle w:val="Heading2"/>
        <w:ind w:left="567"/>
      </w:pPr>
      <w:r>
        <w:t>QoE configuration and reporting</w:t>
      </w:r>
    </w:p>
    <w:p w14:paraId="43F15132" w14:textId="38CD8C4C" w:rsidR="00223CBB" w:rsidRPr="005378EB" w:rsidRDefault="00AF12F3" w:rsidP="00223CBB">
      <w:pPr>
        <w:pStyle w:val="Heading3"/>
      </w:pPr>
      <w:r>
        <w:t>Reporting SRB selection</w:t>
      </w:r>
    </w:p>
    <w:p w14:paraId="56E6DE09" w14:textId="722F090C" w:rsidR="00750B30" w:rsidRDefault="00BD2BD1" w:rsidP="00D17686">
      <w:pPr>
        <w:spacing w:after="0"/>
        <w:rPr>
          <w:lang w:val="en-GB" w:eastAsia="zh-CN"/>
        </w:rPr>
      </w:pPr>
      <w:r>
        <w:rPr>
          <w:rFonts w:hint="eastAsia"/>
          <w:lang w:val="en-GB" w:eastAsia="zh-CN"/>
        </w:rPr>
        <w:t>R</w:t>
      </w:r>
      <w:r>
        <w:rPr>
          <w:lang w:val="en-GB" w:eastAsia="zh-CN"/>
        </w:rPr>
        <w:t>AN2 FFS is listed as below:</w:t>
      </w:r>
    </w:p>
    <w:p w14:paraId="72152F25" w14:textId="77777777" w:rsidR="00E206B3" w:rsidRPr="00750B30" w:rsidRDefault="00CF30A0" w:rsidP="00750B30">
      <w:pPr>
        <w:numPr>
          <w:ilvl w:val="1"/>
          <w:numId w:val="39"/>
        </w:numPr>
        <w:spacing w:after="0"/>
        <w:rPr>
          <w:lang w:eastAsia="zh-CN"/>
        </w:rPr>
      </w:pPr>
      <w:r w:rsidRPr="00750B30">
        <w:rPr>
          <w:lang w:eastAsia="zh-CN"/>
        </w:rPr>
        <w:t xml:space="preserve">FFS how to handle the QoE report transmission if there is only one SRB and the QoE report is not (explicitly) configured for that SRB (to be checked if this is possible according to latest RAN3 agreements) </w:t>
      </w:r>
    </w:p>
    <w:p w14:paraId="2C48F552" w14:textId="4335E2CC" w:rsidR="00EC3F35" w:rsidRDefault="00EC3F35" w:rsidP="00D17686">
      <w:pPr>
        <w:spacing w:after="0"/>
        <w:rPr>
          <w:lang w:eastAsia="zh-CN"/>
        </w:rPr>
      </w:pPr>
    </w:p>
    <w:p w14:paraId="02D60492" w14:textId="0D566E16" w:rsidR="00EC3F35" w:rsidRDefault="00145BEF" w:rsidP="00EC3F35">
      <w:pPr>
        <w:spacing w:after="0"/>
      </w:pPr>
      <w:r>
        <w:t>Let us a</w:t>
      </w:r>
      <w:r w:rsidR="001E2586" w:rsidRPr="00EC3F35">
        <w:t>ssume UE has only SRB4</w:t>
      </w:r>
      <w:r w:rsidR="008620EC">
        <w:t xml:space="preserve"> </w:t>
      </w:r>
      <w:r w:rsidR="001E2586" w:rsidRPr="00EC3F35">
        <w:t>configured</w:t>
      </w:r>
      <w:r w:rsidR="00EC3F35">
        <w:t>, and the UE has got the following configurations from NW:</w:t>
      </w:r>
    </w:p>
    <w:p w14:paraId="6EC13ED2" w14:textId="47CA0654" w:rsidR="00EC3F35" w:rsidRPr="00EC3F35" w:rsidRDefault="001E2586" w:rsidP="00EC3F35">
      <w:pPr>
        <w:pStyle w:val="ListParagraph"/>
        <w:numPr>
          <w:ilvl w:val="0"/>
          <w:numId w:val="41"/>
        </w:numPr>
        <w:spacing w:after="0"/>
        <w:rPr>
          <w:lang w:val="en-US"/>
        </w:rPr>
      </w:pPr>
      <w:r w:rsidRPr="00EC3F35">
        <w:rPr>
          <w:lang w:val="en-US"/>
        </w:rPr>
        <w:t xml:space="preserve">QoE config1 is </w:t>
      </w:r>
      <w:r w:rsidR="00AA1C27">
        <w:rPr>
          <w:lang w:val="en-US"/>
        </w:rPr>
        <w:t xml:space="preserve">configured to </w:t>
      </w:r>
      <w:r w:rsidR="0091628B">
        <w:rPr>
          <w:lang w:val="en-US"/>
        </w:rPr>
        <w:t>us</w:t>
      </w:r>
      <w:r w:rsidR="00AA1C27">
        <w:rPr>
          <w:lang w:val="en-US"/>
        </w:rPr>
        <w:t>e</w:t>
      </w:r>
      <w:r w:rsidRPr="00EC3F35">
        <w:rPr>
          <w:lang w:val="en-US"/>
        </w:rPr>
        <w:t xml:space="preserve"> SRB4</w:t>
      </w:r>
      <w:r w:rsidR="00AA1C27">
        <w:rPr>
          <w:lang w:val="en-US"/>
        </w:rPr>
        <w:t xml:space="preserve"> for reporting</w:t>
      </w:r>
    </w:p>
    <w:p w14:paraId="1789341D" w14:textId="2C61912B" w:rsidR="001E2586" w:rsidRPr="00EC3F35" w:rsidRDefault="001E2586" w:rsidP="00EC3F35">
      <w:pPr>
        <w:pStyle w:val="ListParagraph"/>
        <w:numPr>
          <w:ilvl w:val="0"/>
          <w:numId w:val="41"/>
        </w:numPr>
        <w:spacing w:after="0"/>
        <w:rPr>
          <w:lang w:val="en-US"/>
        </w:rPr>
      </w:pPr>
      <w:r w:rsidRPr="00EC3F35">
        <w:rPr>
          <w:lang w:val="en-US"/>
        </w:rPr>
        <w:t xml:space="preserve">QoE config2 is </w:t>
      </w:r>
      <w:r w:rsidR="00AA1C27">
        <w:rPr>
          <w:lang w:val="en-US"/>
        </w:rPr>
        <w:t xml:space="preserve">configured to use </w:t>
      </w:r>
      <w:r w:rsidRPr="00EC3F35">
        <w:rPr>
          <w:lang w:val="en-US"/>
        </w:rPr>
        <w:t>SRB5</w:t>
      </w:r>
      <w:r w:rsidR="00AA1C27">
        <w:rPr>
          <w:lang w:val="en-US"/>
        </w:rPr>
        <w:t xml:space="preserve"> for reporting</w:t>
      </w:r>
    </w:p>
    <w:p w14:paraId="5299D7DC" w14:textId="590C6451" w:rsidR="004A19B1" w:rsidRDefault="004A19B1" w:rsidP="004A19B1">
      <w:pPr>
        <w:spacing w:after="0"/>
      </w:pPr>
    </w:p>
    <w:p w14:paraId="667869F8" w14:textId="2D69FAD0" w:rsidR="009806FB" w:rsidRDefault="00EC3F35" w:rsidP="00895A6A">
      <w:pPr>
        <w:spacing w:after="0"/>
        <w:rPr>
          <w:lang w:eastAsia="zh-CN"/>
        </w:rPr>
      </w:pPr>
      <w:r>
        <w:rPr>
          <w:rFonts w:hint="eastAsia"/>
          <w:lang w:eastAsia="zh-CN"/>
        </w:rPr>
        <w:t>S</w:t>
      </w:r>
      <w:r>
        <w:rPr>
          <w:lang w:eastAsia="zh-CN"/>
        </w:rPr>
        <w:t xml:space="preserve">ome companies think the above configuration is valid and should be allowed </w:t>
      </w:r>
      <w:r w:rsidR="00063D9D">
        <w:rPr>
          <w:lang w:eastAsia="zh-CN"/>
        </w:rPr>
        <w:t xml:space="preserve">and the UE should be able to </w:t>
      </w:r>
      <w:r w:rsidR="00063D9D">
        <w:t>send QoE reports (associated with QoE config2) via SRB4 rather than SRB5</w:t>
      </w:r>
      <w:r w:rsidR="00145BEF">
        <w:t xml:space="preserve"> in this case</w:t>
      </w:r>
      <w:r w:rsidR="00063D9D">
        <w:t>.</w:t>
      </w:r>
      <w:r w:rsidR="00145BEF">
        <w:t xml:space="preserve"> </w:t>
      </w:r>
      <w:r w:rsidR="00145BEF">
        <w:rPr>
          <w:lang w:eastAsia="zh-CN"/>
        </w:rPr>
        <w:t>However, we see several issues with this approach</w:t>
      </w:r>
      <w:r w:rsidR="00063D9D">
        <w:rPr>
          <w:lang w:eastAsia="zh-CN"/>
        </w:rPr>
        <w:t xml:space="preserve">. </w:t>
      </w:r>
      <w:r w:rsidR="008620EC">
        <w:rPr>
          <w:lang w:eastAsia="zh-CN"/>
        </w:rPr>
        <w:t>Firstly</w:t>
      </w:r>
      <w:r w:rsidR="00063D9D">
        <w:rPr>
          <w:lang w:eastAsia="zh-CN"/>
        </w:rPr>
        <w:t xml:space="preserve">, we think the </w:t>
      </w:r>
      <w:r w:rsidR="00145BEF">
        <w:rPr>
          <w:lang w:eastAsia="zh-CN"/>
        </w:rPr>
        <w:t xml:space="preserve">explicit reporting </w:t>
      </w:r>
      <w:r w:rsidR="00063D9D">
        <w:rPr>
          <w:lang w:eastAsia="zh-CN"/>
        </w:rPr>
        <w:t xml:space="preserve">SRB </w:t>
      </w:r>
      <w:r w:rsidR="004B6508">
        <w:rPr>
          <w:lang w:eastAsia="zh-CN"/>
        </w:rPr>
        <w:t xml:space="preserve">configuration </w:t>
      </w:r>
      <w:r w:rsidR="00145BEF">
        <w:rPr>
          <w:lang w:eastAsia="zh-CN"/>
        </w:rPr>
        <w:t xml:space="preserve">is sufficient and can be used in this case. There is no good reason to specify additional </w:t>
      </w:r>
      <w:r w:rsidR="00063D9D">
        <w:rPr>
          <w:lang w:eastAsia="zh-CN"/>
        </w:rPr>
        <w:t xml:space="preserve">UE </w:t>
      </w:r>
      <w:r w:rsidR="008620EC">
        <w:rPr>
          <w:lang w:eastAsia="zh-CN"/>
        </w:rPr>
        <w:t>behavior</w:t>
      </w:r>
      <w:r w:rsidR="00145BEF">
        <w:rPr>
          <w:lang w:eastAsia="zh-CN"/>
        </w:rPr>
        <w:t xml:space="preserve"> which unnecessarily</w:t>
      </w:r>
      <w:r w:rsidR="00063D9D">
        <w:rPr>
          <w:lang w:eastAsia="zh-CN"/>
        </w:rPr>
        <w:t xml:space="preserve"> complicate</w:t>
      </w:r>
      <w:r w:rsidR="00145BEF">
        <w:rPr>
          <w:lang w:eastAsia="zh-CN"/>
        </w:rPr>
        <w:t xml:space="preserve">s both UE and network implementations. </w:t>
      </w:r>
      <w:r w:rsidR="00145BEF" w:rsidRPr="00145BEF">
        <w:rPr>
          <w:lang w:eastAsia="zh-CN"/>
        </w:rPr>
        <w:t xml:space="preserve"> </w:t>
      </w:r>
      <w:r w:rsidR="00145BEF">
        <w:rPr>
          <w:lang w:eastAsia="zh-CN"/>
        </w:rPr>
        <w:t xml:space="preserve">Secondly, such approach would go against </w:t>
      </w:r>
      <w:r w:rsidR="00140E5A">
        <w:rPr>
          <w:lang w:eastAsia="zh-CN"/>
        </w:rPr>
        <w:t>RAN3 agreements:</w:t>
      </w:r>
    </w:p>
    <w:tbl>
      <w:tblPr>
        <w:tblStyle w:val="TableGrid"/>
        <w:tblW w:w="0" w:type="auto"/>
        <w:tblLook w:val="04A0" w:firstRow="1" w:lastRow="0" w:firstColumn="1" w:lastColumn="0" w:noHBand="0" w:noVBand="1"/>
      </w:tblPr>
      <w:tblGrid>
        <w:gridCol w:w="9350"/>
      </w:tblGrid>
      <w:tr w:rsidR="00140E5A" w14:paraId="2A72D07F" w14:textId="77777777" w:rsidTr="00140E5A">
        <w:tc>
          <w:tcPr>
            <w:tcW w:w="9350" w:type="dxa"/>
          </w:tcPr>
          <w:p w14:paraId="5CFBEB26" w14:textId="77777777" w:rsidR="00140E5A" w:rsidRPr="00140E5A" w:rsidRDefault="00140E5A" w:rsidP="00140E5A">
            <w:pPr>
              <w:overflowPunct/>
              <w:autoSpaceDE/>
              <w:autoSpaceDN/>
              <w:adjustRightInd/>
              <w:spacing w:before="120" w:after="0" w:line="240" w:lineRule="auto"/>
              <w:ind w:left="1080"/>
              <w:rPr>
                <w:rFonts w:eastAsia="Times New Roman"/>
                <w:color w:val="008000"/>
              </w:rPr>
            </w:pPr>
            <w:r w:rsidRPr="00140E5A">
              <w:rPr>
                <w:rFonts w:eastAsia="Times New Roman"/>
                <w:color w:val="008000"/>
              </w:rPr>
              <w:t xml:space="preserve">The SN can indicate to the MN that the reports are to be sent via the SRB5. </w:t>
            </w:r>
          </w:p>
          <w:p w14:paraId="4778EC71" w14:textId="77777777" w:rsidR="00140E5A" w:rsidRPr="00140E5A" w:rsidRDefault="00140E5A" w:rsidP="00140E5A">
            <w:pPr>
              <w:overflowPunct/>
              <w:autoSpaceDE/>
              <w:autoSpaceDN/>
              <w:adjustRightInd/>
              <w:spacing w:before="120" w:after="0" w:line="240" w:lineRule="auto"/>
              <w:ind w:left="1080"/>
              <w:rPr>
                <w:rFonts w:eastAsia="Times New Roman"/>
                <w:color w:val="008000"/>
              </w:rPr>
            </w:pPr>
            <w:r w:rsidRPr="00140E5A">
              <w:rPr>
                <w:rFonts w:eastAsia="Times New Roman"/>
                <w:color w:val="008000"/>
                <w:highlight w:val="yellow"/>
              </w:rPr>
              <w:lastRenderedPageBreak/>
              <w:t>The SN can request the use of the SRB4 for reporting, which the MN can confirm or reject.</w:t>
            </w:r>
            <w:r w:rsidRPr="00140E5A">
              <w:rPr>
                <w:rFonts w:eastAsia="Times New Roman"/>
                <w:color w:val="008000"/>
              </w:rPr>
              <w:t xml:space="preserve"> FFS whether the indication is explicit or implicit. </w:t>
            </w:r>
          </w:p>
          <w:p w14:paraId="05138A83" w14:textId="77777777" w:rsidR="00140E5A" w:rsidRPr="00140E5A" w:rsidRDefault="00140E5A" w:rsidP="00140E5A">
            <w:pPr>
              <w:overflowPunct/>
              <w:autoSpaceDE/>
              <w:autoSpaceDN/>
              <w:adjustRightInd/>
              <w:spacing w:before="120" w:after="0" w:line="240" w:lineRule="auto"/>
              <w:ind w:left="1080"/>
              <w:rPr>
                <w:rFonts w:eastAsia="Times New Roman"/>
                <w:color w:val="008000"/>
              </w:rPr>
            </w:pPr>
            <w:r w:rsidRPr="00140E5A">
              <w:rPr>
                <w:rFonts w:eastAsia="Times New Roman"/>
                <w:color w:val="008000"/>
              </w:rPr>
              <w:t xml:space="preserve">The network can </w:t>
            </w:r>
            <w:r w:rsidRPr="00140E5A">
              <w:rPr>
                <w:rFonts w:eastAsia="Times New Roman"/>
                <w:color w:val="008000"/>
                <w:highlight w:val="yellow"/>
              </w:rPr>
              <w:t>explicitly</w:t>
            </w:r>
            <w:r w:rsidRPr="00140E5A">
              <w:rPr>
                <w:rFonts w:eastAsia="Times New Roman"/>
                <w:color w:val="008000"/>
              </w:rPr>
              <w:t xml:space="preserve"> instruct a UE in NR-DC to switch the reporting leg.</w:t>
            </w:r>
          </w:p>
          <w:p w14:paraId="59B586CD" w14:textId="77777777" w:rsidR="00140E5A" w:rsidRPr="00140E5A" w:rsidRDefault="00140E5A" w:rsidP="00140E5A">
            <w:pPr>
              <w:overflowPunct/>
              <w:autoSpaceDE/>
              <w:autoSpaceDN/>
              <w:adjustRightInd/>
              <w:spacing w:before="120" w:after="0" w:line="240" w:lineRule="auto"/>
              <w:ind w:left="1080"/>
              <w:rPr>
                <w:rFonts w:eastAsia="Times New Roman"/>
                <w:color w:val="008000"/>
              </w:rPr>
            </w:pPr>
            <w:r w:rsidRPr="00140E5A">
              <w:rPr>
                <w:rFonts w:eastAsia="Times New Roman"/>
                <w:color w:val="008000"/>
                <w:highlight w:val="yellow"/>
              </w:rPr>
              <w:t>The leg switching command can be sent to the UE by the node that configured that specific QoE configuration.</w:t>
            </w:r>
          </w:p>
          <w:p w14:paraId="24013DB1" w14:textId="77777777" w:rsidR="00140E5A" w:rsidRPr="00140E5A" w:rsidRDefault="00140E5A" w:rsidP="00140E5A">
            <w:pPr>
              <w:overflowPunct/>
              <w:autoSpaceDE/>
              <w:autoSpaceDN/>
              <w:adjustRightInd/>
              <w:spacing w:before="120" w:after="0" w:line="240" w:lineRule="auto"/>
              <w:ind w:left="1080"/>
              <w:rPr>
                <w:rFonts w:eastAsia="Times New Roman"/>
                <w:color w:val="008000"/>
              </w:rPr>
            </w:pPr>
            <w:r w:rsidRPr="00140E5A">
              <w:rPr>
                <w:rFonts w:eastAsia="Times New Roman"/>
                <w:color w:val="008000"/>
              </w:rPr>
              <w:t>The node that currently receives the QoE reports via the Uu can send a request to the peer node, asking that the QoE reporting leg is switched to the peer node.</w:t>
            </w:r>
          </w:p>
          <w:p w14:paraId="05871665" w14:textId="7F5AA182" w:rsidR="00140E5A" w:rsidRPr="00140E5A" w:rsidRDefault="00140E5A" w:rsidP="00140E5A">
            <w:pPr>
              <w:overflowPunct/>
              <w:autoSpaceDE/>
              <w:autoSpaceDN/>
              <w:adjustRightInd/>
              <w:spacing w:before="120" w:after="0" w:line="240" w:lineRule="auto"/>
              <w:ind w:left="1080"/>
              <w:rPr>
                <w:rFonts w:eastAsia="Times New Roman"/>
                <w:color w:val="008000"/>
              </w:rPr>
            </w:pPr>
            <w:r w:rsidRPr="00140E5A">
              <w:rPr>
                <w:rFonts w:eastAsia="Times New Roman"/>
                <w:color w:val="008000"/>
                <w:highlight w:val="yellow"/>
              </w:rPr>
              <w:t>The leg switch for QoE reporting needs to be approved by both nodes serving the UE.</w:t>
            </w:r>
          </w:p>
        </w:tc>
      </w:tr>
    </w:tbl>
    <w:p w14:paraId="7E75E103" w14:textId="77777777" w:rsidR="00140E5A" w:rsidRDefault="00140E5A" w:rsidP="00895A6A">
      <w:pPr>
        <w:spacing w:after="0"/>
        <w:rPr>
          <w:lang w:eastAsia="zh-CN"/>
        </w:rPr>
      </w:pPr>
    </w:p>
    <w:p w14:paraId="173AA2C3" w14:textId="621A338D" w:rsidR="00E8165E" w:rsidRDefault="00140E5A" w:rsidP="00146F0B">
      <w:pPr>
        <w:rPr>
          <w:lang w:eastAsia="zh-CN"/>
        </w:rPr>
      </w:pPr>
      <w:r>
        <w:rPr>
          <w:lang w:eastAsia="zh-CN"/>
        </w:rPr>
        <w:t xml:space="preserve">Based on the agreements above, we see that RAN3 only agreed that the reporting leg can be switched via explicit command from the node which configured that specific QoE configuration. Even more importantly, RAN3 agreed that switching of the leg needs to be approved by both nodes. This means that the UE cannot implicitly switch the reporting leg as this could violate </w:t>
      </w:r>
      <w:r w:rsidR="00E8165E">
        <w:rPr>
          <w:lang w:eastAsia="zh-CN"/>
        </w:rPr>
        <w:t xml:space="preserve">the </w:t>
      </w:r>
      <w:r>
        <w:rPr>
          <w:lang w:eastAsia="zh-CN"/>
        </w:rPr>
        <w:t>network</w:t>
      </w:r>
      <w:r w:rsidR="00E8165E">
        <w:rPr>
          <w:lang w:eastAsia="zh-CN"/>
        </w:rPr>
        <w:t>’s</w:t>
      </w:r>
      <w:r>
        <w:rPr>
          <w:lang w:eastAsia="zh-CN"/>
        </w:rPr>
        <w:t xml:space="preserve"> intention. </w:t>
      </w:r>
      <w:r w:rsidR="00E8165E">
        <w:rPr>
          <w:lang w:eastAsia="zh-CN"/>
        </w:rPr>
        <w:t>Considering the above, we propose to agree the following:</w:t>
      </w:r>
    </w:p>
    <w:p w14:paraId="751A48AA" w14:textId="42022A74" w:rsidR="00A72491" w:rsidRPr="00C8755D" w:rsidRDefault="00A72491" w:rsidP="00A72491">
      <w:pPr>
        <w:rPr>
          <w:b/>
          <w:lang w:val="en-GB" w:eastAsia="zh-CN"/>
        </w:rPr>
      </w:pPr>
      <w:r w:rsidRPr="00C8755D">
        <w:rPr>
          <w:rFonts w:hint="eastAsia"/>
          <w:b/>
          <w:lang w:val="en-GB" w:eastAsia="zh-CN"/>
        </w:rPr>
        <w:t>P</w:t>
      </w:r>
      <w:r w:rsidRPr="00C8755D">
        <w:rPr>
          <w:b/>
          <w:lang w:val="en-GB" w:eastAsia="zh-CN"/>
        </w:rPr>
        <w:t xml:space="preserve">roposal 1: </w:t>
      </w:r>
      <w:r w:rsidR="00E8165E">
        <w:rPr>
          <w:b/>
          <w:lang w:val="en-GB" w:eastAsia="zh-CN"/>
        </w:rPr>
        <w:t>Only the reporting leg indicated via explicit configuration to the</w:t>
      </w:r>
      <w:r w:rsidR="00B83331">
        <w:rPr>
          <w:b/>
          <w:lang w:val="en-GB" w:eastAsia="zh-CN"/>
        </w:rPr>
        <w:t xml:space="preserve"> </w:t>
      </w:r>
      <w:r w:rsidR="00E8165E">
        <w:rPr>
          <w:b/>
          <w:lang w:val="en-GB" w:eastAsia="zh-CN"/>
        </w:rPr>
        <w:t xml:space="preserve">UE can be used for QoE </w:t>
      </w:r>
      <w:r w:rsidR="00146F0B">
        <w:rPr>
          <w:b/>
          <w:lang w:val="en-GB" w:eastAsia="zh-CN"/>
        </w:rPr>
        <w:t>reporting</w:t>
      </w:r>
      <w:r w:rsidR="00E8165E">
        <w:rPr>
          <w:b/>
          <w:lang w:val="en-GB" w:eastAsia="zh-CN"/>
        </w:rPr>
        <w:t xml:space="preserve"> by the UE. </w:t>
      </w:r>
    </w:p>
    <w:p w14:paraId="112D973C" w14:textId="29B49B45" w:rsidR="008F2B2C" w:rsidRPr="005378EB" w:rsidRDefault="005D4B4F" w:rsidP="008F2B2C">
      <w:pPr>
        <w:pStyle w:val="Heading3"/>
      </w:pPr>
      <w:r>
        <w:t>SCG deactivat</w:t>
      </w:r>
      <w:r w:rsidR="00B7577F">
        <w:t>ion</w:t>
      </w:r>
    </w:p>
    <w:p w14:paraId="549C747C" w14:textId="10B57BDD" w:rsidR="008F2B2C" w:rsidRDefault="007B3501" w:rsidP="00D17686">
      <w:pPr>
        <w:spacing w:after="0"/>
        <w:rPr>
          <w:lang w:val="en-GB" w:eastAsia="zh-CN"/>
        </w:rPr>
      </w:pPr>
      <w:r>
        <w:rPr>
          <w:rFonts w:hint="eastAsia"/>
          <w:lang w:val="en-GB" w:eastAsia="zh-CN"/>
        </w:rPr>
        <w:t>W</w:t>
      </w:r>
      <w:r>
        <w:rPr>
          <w:lang w:val="en-GB" w:eastAsia="zh-CN"/>
        </w:rPr>
        <w:t xml:space="preserve">e think the following use cases </w:t>
      </w:r>
      <w:r w:rsidR="00562BA0">
        <w:rPr>
          <w:lang w:val="en-GB" w:eastAsia="zh-CN"/>
        </w:rPr>
        <w:t>should be considered</w:t>
      </w:r>
      <w:r>
        <w:rPr>
          <w:lang w:val="en-GB" w:eastAsia="zh-CN"/>
        </w:rPr>
        <w:t>:</w:t>
      </w:r>
    </w:p>
    <w:p w14:paraId="5134DD70" w14:textId="2AD9C27F" w:rsidR="007B3501" w:rsidRDefault="007B3501" w:rsidP="007B3501">
      <w:pPr>
        <w:pStyle w:val="ListParagraph"/>
        <w:numPr>
          <w:ilvl w:val="0"/>
          <w:numId w:val="40"/>
        </w:numPr>
        <w:spacing w:after="0"/>
        <w:rPr>
          <w:lang w:val="en-GB"/>
        </w:rPr>
      </w:pPr>
      <w:r>
        <w:rPr>
          <w:lang w:val="en-GB"/>
        </w:rPr>
        <w:t>UC1: Both SRB4 and SRB5 are configured for QoE reporting</w:t>
      </w:r>
      <w:r w:rsidR="00411CAE">
        <w:rPr>
          <w:lang w:val="en-GB"/>
        </w:rPr>
        <w:t xml:space="preserve"> (for different QoE configurations)</w:t>
      </w:r>
    </w:p>
    <w:p w14:paraId="423C2A96" w14:textId="7173AC45" w:rsidR="007B3501" w:rsidRDefault="007B3501" w:rsidP="007B3501">
      <w:pPr>
        <w:pStyle w:val="ListParagraph"/>
        <w:numPr>
          <w:ilvl w:val="0"/>
          <w:numId w:val="40"/>
        </w:numPr>
        <w:spacing w:after="0"/>
        <w:rPr>
          <w:lang w:val="en-GB"/>
        </w:rPr>
      </w:pPr>
      <w:r>
        <w:rPr>
          <w:lang w:val="en-GB"/>
        </w:rPr>
        <w:t>UC2: only SRB4 is configured</w:t>
      </w:r>
    </w:p>
    <w:p w14:paraId="3A8A2AD4" w14:textId="7F4F725A" w:rsidR="007B3501" w:rsidRDefault="007B3501" w:rsidP="007B3501">
      <w:pPr>
        <w:pStyle w:val="ListParagraph"/>
        <w:numPr>
          <w:ilvl w:val="0"/>
          <w:numId w:val="40"/>
        </w:numPr>
        <w:spacing w:after="0"/>
        <w:rPr>
          <w:lang w:val="en-GB"/>
        </w:rPr>
      </w:pPr>
      <w:r>
        <w:rPr>
          <w:lang w:val="en-GB"/>
        </w:rPr>
        <w:t>UC3: only SRB5 is configure</w:t>
      </w:r>
      <w:r w:rsidR="004017FA">
        <w:rPr>
          <w:lang w:val="en-GB"/>
        </w:rPr>
        <w:t>d</w:t>
      </w:r>
    </w:p>
    <w:p w14:paraId="25E2EDF1" w14:textId="77777777" w:rsidR="00E85627" w:rsidRPr="00E85627" w:rsidRDefault="00E85627" w:rsidP="00E85627">
      <w:pPr>
        <w:spacing w:after="0"/>
        <w:rPr>
          <w:lang w:val="en-GB"/>
        </w:rPr>
      </w:pPr>
    </w:p>
    <w:p w14:paraId="738CBBC2" w14:textId="2C2AF1DC" w:rsidR="0012038E" w:rsidRDefault="00E85627" w:rsidP="00D17686">
      <w:pPr>
        <w:spacing w:after="0"/>
        <w:rPr>
          <w:lang w:val="en-GB" w:eastAsia="zh-CN"/>
        </w:rPr>
      </w:pPr>
      <w:r>
        <w:rPr>
          <w:noProof/>
        </w:rPr>
        <w:drawing>
          <wp:inline distT="0" distB="0" distL="0" distR="0" wp14:anchorId="0AF67325" wp14:editId="6C5549B2">
            <wp:extent cx="1760561" cy="1085046"/>
            <wp:effectExtent l="0" t="0" r="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87827" cy="1101850"/>
                    </a:xfrm>
                    <a:prstGeom prst="rect">
                      <a:avLst/>
                    </a:prstGeom>
                  </pic:spPr>
                </pic:pic>
              </a:graphicData>
            </a:graphic>
          </wp:inline>
        </w:drawing>
      </w:r>
      <w:r>
        <w:rPr>
          <w:noProof/>
        </w:rPr>
        <w:drawing>
          <wp:inline distT="0" distB="0" distL="0" distR="0" wp14:anchorId="41E75162" wp14:editId="36F2E697">
            <wp:extent cx="1773215" cy="1062236"/>
            <wp:effectExtent l="0" t="0" r="0" b="508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98563" cy="1077420"/>
                    </a:xfrm>
                    <a:prstGeom prst="rect">
                      <a:avLst/>
                    </a:prstGeom>
                  </pic:spPr>
                </pic:pic>
              </a:graphicData>
            </a:graphic>
          </wp:inline>
        </w:drawing>
      </w:r>
      <w:r>
        <w:rPr>
          <w:noProof/>
        </w:rPr>
        <w:drawing>
          <wp:inline distT="0" distB="0" distL="0" distR="0" wp14:anchorId="068D62A9" wp14:editId="5D2567BD">
            <wp:extent cx="1712865" cy="1080144"/>
            <wp:effectExtent l="0" t="0" r="1905" b="571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68379" cy="1115151"/>
                    </a:xfrm>
                    <a:prstGeom prst="rect">
                      <a:avLst/>
                    </a:prstGeom>
                  </pic:spPr>
                </pic:pic>
              </a:graphicData>
            </a:graphic>
          </wp:inline>
        </w:drawing>
      </w:r>
    </w:p>
    <w:p w14:paraId="78787D56" w14:textId="77777777" w:rsidR="00E85627" w:rsidRDefault="00E85627" w:rsidP="00D17686">
      <w:pPr>
        <w:spacing w:after="0"/>
        <w:rPr>
          <w:lang w:val="en-GB" w:eastAsia="zh-CN"/>
        </w:rPr>
      </w:pPr>
    </w:p>
    <w:p w14:paraId="4E43CAF2" w14:textId="77777777" w:rsidR="00E85627" w:rsidRDefault="00E85627" w:rsidP="00D17686">
      <w:pPr>
        <w:spacing w:after="0"/>
        <w:rPr>
          <w:lang w:val="en-GB" w:eastAsia="zh-CN"/>
        </w:rPr>
      </w:pPr>
    </w:p>
    <w:p w14:paraId="52822D3B" w14:textId="6DB8AD69" w:rsidR="00562BA0" w:rsidRDefault="002E4F88" w:rsidP="00D17686">
      <w:pPr>
        <w:spacing w:after="0"/>
        <w:rPr>
          <w:lang w:val="en-GB" w:eastAsia="zh-CN"/>
        </w:rPr>
      </w:pPr>
      <w:r>
        <w:rPr>
          <w:lang w:val="en-GB" w:eastAsia="zh-CN"/>
        </w:rPr>
        <w:t>When</w:t>
      </w:r>
      <w:r w:rsidR="004017FA">
        <w:rPr>
          <w:lang w:val="en-GB" w:eastAsia="zh-CN"/>
        </w:rPr>
        <w:t xml:space="preserve"> SCG is deactivated, </w:t>
      </w:r>
      <w:r w:rsidR="00562BA0">
        <w:rPr>
          <w:lang w:val="en-GB" w:eastAsia="zh-CN"/>
        </w:rPr>
        <w:t>the SCG configuration is maintained at the UE and hence also SN QoE configurations can be kept. However, some action is required for the QoE configurations (from both MN and SN) which are configured to utilize SRB5 as the reporting leg. Several options are possible:</w:t>
      </w:r>
    </w:p>
    <w:p w14:paraId="2436685E" w14:textId="601FFC70" w:rsidR="00562BA0" w:rsidRDefault="00562BA0" w:rsidP="00562BA0">
      <w:pPr>
        <w:pStyle w:val="ListParagraph"/>
        <w:numPr>
          <w:ilvl w:val="0"/>
          <w:numId w:val="45"/>
        </w:numPr>
        <w:spacing w:after="0"/>
        <w:rPr>
          <w:lang w:val="en-GB"/>
        </w:rPr>
      </w:pPr>
      <w:r>
        <w:rPr>
          <w:lang w:val="en-GB"/>
        </w:rPr>
        <w:t>UE autonomously switches QoE reporting leg to SRB4.</w:t>
      </w:r>
    </w:p>
    <w:p w14:paraId="24FAE63D" w14:textId="5263640B" w:rsidR="00562BA0" w:rsidRDefault="00562BA0" w:rsidP="00562BA0">
      <w:pPr>
        <w:pStyle w:val="ListParagraph"/>
        <w:numPr>
          <w:ilvl w:val="0"/>
          <w:numId w:val="45"/>
        </w:numPr>
        <w:spacing w:after="0"/>
        <w:rPr>
          <w:lang w:val="en-GB"/>
        </w:rPr>
      </w:pPr>
      <w:r>
        <w:rPr>
          <w:lang w:val="en-GB"/>
        </w:rPr>
        <w:t>UE autonomously pauses these QoE configurations.</w:t>
      </w:r>
    </w:p>
    <w:p w14:paraId="4A01CA18" w14:textId="032F1596" w:rsidR="00562BA0" w:rsidRDefault="00562BA0" w:rsidP="00562BA0">
      <w:pPr>
        <w:pStyle w:val="ListParagraph"/>
        <w:numPr>
          <w:ilvl w:val="0"/>
          <w:numId w:val="45"/>
        </w:numPr>
        <w:spacing w:after="0"/>
        <w:rPr>
          <w:lang w:val="en-GB"/>
        </w:rPr>
      </w:pPr>
      <w:r>
        <w:rPr>
          <w:lang w:val="en-GB"/>
        </w:rPr>
        <w:t>We rely on network implementation to either switch the reporting leg or pause these QoE configurations.</w:t>
      </w:r>
    </w:p>
    <w:p w14:paraId="405BD569" w14:textId="6DECFBEB" w:rsidR="00562BA0" w:rsidRDefault="00562BA0" w:rsidP="00562BA0">
      <w:pPr>
        <w:spacing w:after="0"/>
        <w:rPr>
          <w:lang w:val="en-GB"/>
        </w:rPr>
      </w:pPr>
    </w:p>
    <w:p w14:paraId="6299112A" w14:textId="179513DE" w:rsidR="004017FA" w:rsidRDefault="00562BA0" w:rsidP="00051053">
      <w:pPr>
        <w:spacing w:after="0"/>
        <w:rPr>
          <w:lang w:val="en-GB" w:eastAsia="zh-CN"/>
        </w:rPr>
      </w:pPr>
      <w:r>
        <w:rPr>
          <w:lang w:val="en-GB"/>
        </w:rPr>
        <w:t xml:space="preserve">Options 1 and 2 would require specifying new UE behaviour in RRC. Furthermore, it would lead to discrepancy of UE’s RRC configuration and UE’s actual behaviour, e.g. the UE would pause the QoE configuration even though </w:t>
      </w:r>
      <w:r w:rsidR="006E09CA">
        <w:rPr>
          <w:lang w:val="en-GB"/>
        </w:rPr>
        <w:t>its RRC configuration would indicate the QoE configuration as “not paused”. Similarly, the UE would report over SRB4 even though SRB5 would be configured as the reporting leg</w:t>
      </w:r>
      <w:r w:rsidR="006E09CA" w:rsidRPr="006E09CA">
        <w:rPr>
          <w:lang w:val="en-GB"/>
        </w:rPr>
        <w:t xml:space="preserve"> </w:t>
      </w:r>
      <w:r w:rsidR="006E09CA">
        <w:rPr>
          <w:lang w:val="en-GB"/>
        </w:rPr>
        <w:t>in the RRC configuration. Such mechanism would be overcomplicated in our opinion</w:t>
      </w:r>
      <w:r w:rsidR="00A53529">
        <w:rPr>
          <w:lang w:val="en-GB"/>
        </w:rPr>
        <w:t xml:space="preserve"> and would require many additional specifications changes. We believe it is much easier to rely on proper network reconfiguration </w:t>
      </w:r>
      <w:r w:rsidR="001B6328">
        <w:rPr>
          <w:lang w:val="en-GB"/>
        </w:rPr>
        <w:t>before</w:t>
      </w:r>
      <w:r w:rsidR="00A53529">
        <w:rPr>
          <w:lang w:val="en-GB"/>
        </w:rPr>
        <w:t xml:space="preserve"> SCG deactivation occurs.</w:t>
      </w:r>
    </w:p>
    <w:p w14:paraId="58ACA62D" w14:textId="29211697" w:rsidR="007B3501" w:rsidRDefault="007B3501" w:rsidP="00D17686">
      <w:pPr>
        <w:spacing w:after="0"/>
        <w:rPr>
          <w:lang w:val="en-GB" w:eastAsia="zh-CN"/>
        </w:rPr>
      </w:pPr>
    </w:p>
    <w:p w14:paraId="36C6A439" w14:textId="7F6C9BD8" w:rsidR="0018242F" w:rsidRPr="00733C77" w:rsidRDefault="0018242F" w:rsidP="0018242F">
      <w:pPr>
        <w:rPr>
          <w:b/>
          <w:lang w:val="en-GB" w:eastAsia="zh-CN"/>
        </w:rPr>
      </w:pPr>
      <w:r w:rsidRPr="0088221E">
        <w:rPr>
          <w:rFonts w:hint="eastAsia"/>
          <w:b/>
          <w:lang w:val="en-GB" w:eastAsia="zh-CN"/>
        </w:rPr>
        <w:t>P</w:t>
      </w:r>
      <w:r w:rsidRPr="0088221E">
        <w:rPr>
          <w:b/>
          <w:lang w:val="en-GB" w:eastAsia="zh-CN"/>
        </w:rPr>
        <w:t xml:space="preserve">roposal </w:t>
      </w:r>
      <w:r>
        <w:rPr>
          <w:b/>
          <w:lang w:val="en-GB" w:eastAsia="zh-CN"/>
        </w:rPr>
        <w:t>2</w:t>
      </w:r>
      <w:r w:rsidRPr="0088221E">
        <w:rPr>
          <w:b/>
          <w:lang w:val="en-GB" w:eastAsia="zh-CN"/>
        </w:rPr>
        <w:t xml:space="preserve">: </w:t>
      </w:r>
      <w:r w:rsidR="00F1556D">
        <w:rPr>
          <w:b/>
          <w:lang w:val="en-GB" w:eastAsia="zh-CN"/>
        </w:rPr>
        <w:t>When SCG is deactivated, the network should ensure that there are no QoE configurations which are configured with SRB5 as the reporting leg, e.g. by releasing or pausing such QoE configurations or by switching the reporting leg to SRB4.</w:t>
      </w:r>
    </w:p>
    <w:p w14:paraId="1DAFCD95" w14:textId="2F8A8601" w:rsidR="00612C26" w:rsidRPr="005378EB" w:rsidRDefault="00612C26" w:rsidP="00612C26">
      <w:pPr>
        <w:pStyle w:val="Heading3"/>
      </w:pPr>
      <w:r>
        <w:lastRenderedPageBreak/>
        <w:t>SCG release</w:t>
      </w:r>
    </w:p>
    <w:p w14:paraId="0D793735" w14:textId="5A2055B9" w:rsidR="00A468E7" w:rsidRDefault="00A468E7" w:rsidP="00612C26">
      <w:pPr>
        <w:spacing w:after="0"/>
        <w:rPr>
          <w:lang w:val="en-GB" w:eastAsia="zh-CN"/>
        </w:rPr>
      </w:pPr>
      <w:r>
        <w:rPr>
          <w:lang w:val="en-GB" w:eastAsia="zh-CN"/>
        </w:rPr>
        <w:t>SCG release can be initiated by</w:t>
      </w:r>
      <w:r w:rsidR="007F0D34">
        <w:rPr>
          <w:lang w:val="en-GB" w:eastAsia="zh-CN"/>
        </w:rPr>
        <w:t xml:space="preserve"> the</w:t>
      </w:r>
      <w:r>
        <w:rPr>
          <w:lang w:val="en-GB" w:eastAsia="zh-CN"/>
        </w:rPr>
        <w:t xml:space="preserve"> NW or </w:t>
      </w:r>
      <w:r w:rsidR="007F0D34">
        <w:rPr>
          <w:lang w:val="en-GB" w:eastAsia="zh-CN"/>
        </w:rPr>
        <w:t xml:space="preserve">by the </w:t>
      </w:r>
      <w:r>
        <w:rPr>
          <w:lang w:val="en-GB" w:eastAsia="zh-CN"/>
        </w:rPr>
        <w:t>UE</w:t>
      </w:r>
      <w:r w:rsidR="005B76FD">
        <w:rPr>
          <w:lang w:val="en-GB" w:eastAsia="zh-CN"/>
        </w:rPr>
        <w:t>, i.e.</w:t>
      </w:r>
      <w:r>
        <w:rPr>
          <w:lang w:val="en-GB" w:eastAsia="zh-CN"/>
        </w:rPr>
        <w:t>:</w:t>
      </w:r>
    </w:p>
    <w:p w14:paraId="495D94E8" w14:textId="0FAA1507" w:rsidR="00A468E7" w:rsidRDefault="00A468E7" w:rsidP="00A468E7">
      <w:pPr>
        <w:pStyle w:val="ListParagraph"/>
        <w:numPr>
          <w:ilvl w:val="0"/>
          <w:numId w:val="40"/>
        </w:numPr>
        <w:spacing w:after="0"/>
        <w:rPr>
          <w:lang w:val="en-GB"/>
        </w:rPr>
      </w:pPr>
      <w:r>
        <w:rPr>
          <w:lang w:val="en-GB"/>
        </w:rPr>
        <w:t xml:space="preserve">Case (a): </w:t>
      </w:r>
      <w:r>
        <w:rPr>
          <w:rFonts w:hint="eastAsia"/>
          <w:lang w:val="en-GB"/>
        </w:rPr>
        <w:t>S</w:t>
      </w:r>
      <w:r>
        <w:rPr>
          <w:lang w:val="en-GB"/>
        </w:rPr>
        <w:t>CG release initiated by NW</w:t>
      </w:r>
      <w:r w:rsidR="007F0D34">
        <w:rPr>
          <w:lang w:val="en-GB"/>
        </w:rPr>
        <w:t>:</w:t>
      </w:r>
      <w:r>
        <w:rPr>
          <w:lang w:val="en-GB"/>
        </w:rPr>
        <w:t xml:space="preserve"> In this case, the network sends </w:t>
      </w:r>
      <w:r w:rsidR="007F0D34">
        <w:rPr>
          <w:lang w:val="en-GB"/>
        </w:rPr>
        <w:t xml:space="preserve">an </w:t>
      </w:r>
      <w:r>
        <w:rPr>
          <w:lang w:val="en-GB"/>
        </w:rPr>
        <w:t>indication to the UE to explicitly release the SCG</w:t>
      </w:r>
      <w:r w:rsidR="00E14578">
        <w:rPr>
          <w:lang w:val="en-GB"/>
        </w:rPr>
        <w:t>. It is noted that the UE can indicate a preference to NW for SCG release, and then it is up to NW whether/how to respon</w:t>
      </w:r>
      <w:r w:rsidR="00C10104">
        <w:rPr>
          <w:lang w:val="en-GB"/>
        </w:rPr>
        <w:t>d</w:t>
      </w:r>
      <w:r w:rsidR="007F0D34">
        <w:rPr>
          <w:lang w:val="en-GB"/>
        </w:rPr>
        <w:t>.</w:t>
      </w:r>
    </w:p>
    <w:p w14:paraId="6EB38D48" w14:textId="0612E667" w:rsidR="00A468E7" w:rsidRPr="008E1A59" w:rsidRDefault="00A468E7" w:rsidP="00A468E7">
      <w:pPr>
        <w:pStyle w:val="ListParagraph"/>
        <w:numPr>
          <w:ilvl w:val="0"/>
          <w:numId w:val="40"/>
        </w:numPr>
        <w:spacing w:after="0"/>
        <w:rPr>
          <w:lang w:val="en-GB"/>
        </w:rPr>
      </w:pPr>
      <w:r w:rsidRPr="008E1A59">
        <w:rPr>
          <w:lang w:val="en-GB"/>
        </w:rPr>
        <w:t xml:space="preserve">Case (b): </w:t>
      </w:r>
      <w:r w:rsidRPr="008E1A59">
        <w:rPr>
          <w:rFonts w:hint="eastAsia"/>
          <w:lang w:val="en-GB"/>
        </w:rPr>
        <w:t>S</w:t>
      </w:r>
      <w:r w:rsidRPr="008E1A59">
        <w:rPr>
          <w:lang w:val="en-GB"/>
        </w:rPr>
        <w:t>CG release initiated by UE</w:t>
      </w:r>
      <w:r w:rsidR="007F0D34">
        <w:rPr>
          <w:lang w:val="en-GB"/>
        </w:rPr>
        <w:t>:</w:t>
      </w:r>
      <w:r w:rsidRPr="008E1A59">
        <w:rPr>
          <w:lang w:val="en-GB"/>
        </w:rPr>
        <w:t xml:space="preserve"> </w:t>
      </w:r>
      <w:r w:rsidR="00547FAE" w:rsidRPr="008E1A59">
        <w:rPr>
          <w:lang w:val="en-GB"/>
        </w:rPr>
        <w:t>As defined in TS 38.331, the UE shall release the SCG configuration upon</w:t>
      </w:r>
      <w:r w:rsidR="008E1A59" w:rsidRPr="008E1A59">
        <w:rPr>
          <w:lang w:val="en-GB"/>
        </w:rPr>
        <w:t xml:space="preserve"> initiation of </w:t>
      </w:r>
      <w:r w:rsidR="007F0D34">
        <w:rPr>
          <w:lang w:val="en-GB"/>
        </w:rPr>
        <w:t xml:space="preserve">the </w:t>
      </w:r>
      <w:r w:rsidR="008E1A59" w:rsidRPr="008E1A59">
        <w:rPr>
          <w:lang w:val="en-GB"/>
        </w:rPr>
        <w:t>RRC connection re-establishment procedure</w:t>
      </w:r>
      <w:r w:rsidR="007F0D34">
        <w:rPr>
          <w:lang w:val="en-GB"/>
        </w:rPr>
        <w:t>.</w:t>
      </w:r>
    </w:p>
    <w:p w14:paraId="05D66E14" w14:textId="6FA481A3" w:rsidR="0080640F" w:rsidRDefault="0080640F" w:rsidP="00612C26">
      <w:pPr>
        <w:spacing w:after="0"/>
        <w:rPr>
          <w:lang w:val="en-GB" w:eastAsia="zh-CN"/>
        </w:rPr>
      </w:pPr>
    </w:p>
    <w:tbl>
      <w:tblPr>
        <w:tblStyle w:val="TableGrid"/>
        <w:tblW w:w="0" w:type="auto"/>
        <w:tblLook w:val="04A0" w:firstRow="1" w:lastRow="0" w:firstColumn="1" w:lastColumn="0" w:noHBand="0" w:noVBand="1"/>
      </w:tblPr>
      <w:tblGrid>
        <w:gridCol w:w="9350"/>
      </w:tblGrid>
      <w:tr w:rsidR="009E7307" w14:paraId="1BC2B219" w14:textId="77777777" w:rsidTr="009E7307">
        <w:tc>
          <w:tcPr>
            <w:tcW w:w="9350" w:type="dxa"/>
          </w:tcPr>
          <w:p w14:paraId="1737179E" w14:textId="77777777" w:rsidR="009E7307" w:rsidRPr="003D18C5" w:rsidRDefault="009E7307" w:rsidP="009E7307">
            <w:pPr>
              <w:spacing w:after="0"/>
              <w:rPr>
                <w:b/>
                <w:lang w:val="en-GB" w:eastAsia="zh-CN"/>
              </w:rPr>
            </w:pPr>
            <w:r w:rsidRPr="003D18C5">
              <w:rPr>
                <w:b/>
                <w:lang w:val="en-GB" w:eastAsia="zh-CN"/>
              </w:rPr>
              <w:t>As defined in TS 37.340:</w:t>
            </w:r>
          </w:p>
          <w:p w14:paraId="3791B428" w14:textId="77777777" w:rsidR="009E7307" w:rsidRPr="003D18C5" w:rsidRDefault="009E7307" w:rsidP="009E7307">
            <w:pPr>
              <w:spacing w:after="0"/>
              <w:rPr>
                <w:i/>
                <w:lang w:val="en-GB" w:eastAsia="zh-CN"/>
              </w:rPr>
            </w:pPr>
            <w:r w:rsidRPr="003D18C5">
              <w:rPr>
                <w:i/>
              </w:rPr>
              <w:t>UE can implicitly indicate a preference for NR SCG release by indicating zero number of carriers and zero aggregated maximum bandwidth in both FR1 and FR2.</w:t>
            </w:r>
          </w:p>
          <w:p w14:paraId="6BB93F5D" w14:textId="77777777" w:rsidR="009E7307" w:rsidRDefault="009E7307" w:rsidP="009E7307">
            <w:pPr>
              <w:spacing w:after="0"/>
              <w:rPr>
                <w:lang w:val="en-GB" w:eastAsia="zh-CN"/>
              </w:rPr>
            </w:pPr>
          </w:p>
          <w:p w14:paraId="3CC0D503" w14:textId="77777777" w:rsidR="009E7307" w:rsidRPr="003D18C5" w:rsidRDefault="009E7307" w:rsidP="009E7307">
            <w:pPr>
              <w:spacing w:after="0"/>
              <w:rPr>
                <w:b/>
                <w:lang w:val="en-GB" w:eastAsia="zh-CN"/>
              </w:rPr>
            </w:pPr>
            <w:r w:rsidRPr="003D18C5">
              <w:rPr>
                <w:b/>
                <w:lang w:val="en-GB" w:eastAsia="zh-CN"/>
              </w:rPr>
              <w:t>As defined in TS 3</w:t>
            </w:r>
            <w:r>
              <w:rPr>
                <w:b/>
                <w:lang w:val="en-GB" w:eastAsia="zh-CN"/>
              </w:rPr>
              <w:t>8.331</w:t>
            </w:r>
            <w:r w:rsidRPr="003D18C5">
              <w:rPr>
                <w:b/>
                <w:lang w:val="en-GB" w:eastAsia="zh-CN"/>
              </w:rPr>
              <w:t>:</w:t>
            </w:r>
          </w:p>
          <w:p w14:paraId="4CB8A23D" w14:textId="77777777" w:rsidR="009E7307" w:rsidRDefault="009E7307" w:rsidP="009E7307">
            <w:pPr>
              <w:spacing w:after="0"/>
              <w:rPr>
                <w:lang w:val="en-GB" w:eastAsia="zh-CN"/>
              </w:rPr>
            </w:pPr>
            <w:r>
              <w:rPr>
                <w:rFonts w:hint="eastAsia"/>
                <w:lang w:val="en-GB" w:eastAsia="zh-CN"/>
              </w:rPr>
              <w:t>W</w:t>
            </w:r>
            <w:r>
              <w:rPr>
                <w:lang w:val="en-GB" w:eastAsia="zh-CN"/>
              </w:rPr>
              <w:t>hen the UE initiates RRC connection re-establishment procedure, it is specified:</w:t>
            </w:r>
          </w:p>
          <w:p w14:paraId="10E8985E" w14:textId="77777777" w:rsidR="00F83A51" w:rsidRPr="00F83A51" w:rsidRDefault="00F83A51" w:rsidP="00F83A51">
            <w:pPr>
              <w:spacing w:line="240" w:lineRule="auto"/>
              <w:textAlignment w:val="baseline"/>
              <w:rPr>
                <w:rFonts w:eastAsia="Times New Roman"/>
                <w:lang w:val="en-GB" w:eastAsia="ja-JP"/>
              </w:rPr>
            </w:pPr>
            <w:r w:rsidRPr="00F83A51">
              <w:rPr>
                <w:rFonts w:eastAsia="Times New Roman"/>
                <w:lang w:val="en-GB" w:eastAsia="ja-JP"/>
              </w:rPr>
              <w:t>Upon initiation of the procedure, the UE shall:</w:t>
            </w:r>
          </w:p>
          <w:p w14:paraId="2EE0F31E" w14:textId="77777777" w:rsidR="00F83A51" w:rsidRPr="00C0503E" w:rsidRDefault="00F83A51" w:rsidP="00F83A51">
            <w:pPr>
              <w:pStyle w:val="B1"/>
              <w:spacing w:after="0"/>
            </w:pPr>
            <w:r w:rsidRPr="00C0503E">
              <w:t>1&gt;</w:t>
            </w:r>
            <w:r w:rsidRPr="00C0503E">
              <w:tab/>
              <w:t xml:space="preserve">if UE is not configured with </w:t>
            </w:r>
            <w:r w:rsidRPr="00C0503E">
              <w:rPr>
                <w:i/>
              </w:rPr>
              <w:t>attemptCondReconfig</w:t>
            </w:r>
            <w:r w:rsidRPr="00C0503E">
              <w:t>:</w:t>
            </w:r>
          </w:p>
          <w:p w14:paraId="1486659D" w14:textId="33BAADA1" w:rsidR="00F83A51" w:rsidRDefault="00F83A51" w:rsidP="00F83A51">
            <w:pPr>
              <w:pStyle w:val="B2"/>
              <w:spacing w:after="0"/>
            </w:pPr>
            <w:r>
              <w:t>&lt;partially omitted&gt;</w:t>
            </w:r>
          </w:p>
          <w:p w14:paraId="542A485D" w14:textId="57A949F0" w:rsidR="00F83A51" w:rsidRPr="00C0503E" w:rsidRDefault="00F83A51" w:rsidP="00F83A51">
            <w:pPr>
              <w:pStyle w:val="B2"/>
              <w:spacing w:after="0"/>
            </w:pPr>
            <w:r w:rsidRPr="00C0503E">
              <w:t>2&gt;</w:t>
            </w:r>
            <w:r w:rsidRPr="00C0503E">
              <w:tab/>
              <w:t>if MR-DC is configured:</w:t>
            </w:r>
          </w:p>
          <w:p w14:paraId="75270660" w14:textId="5B36A8C0" w:rsidR="00F83A51" w:rsidRDefault="00F83A51" w:rsidP="00F83A51">
            <w:pPr>
              <w:pStyle w:val="B3"/>
              <w:spacing w:after="0"/>
            </w:pPr>
            <w:r w:rsidRPr="00C0503E">
              <w:t>3&gt;</w:t>
            </w:r>
            <w:r w:rsidRPr="00C0503E">
              <w:tab/>
              <w:t>perform MR-DC release, as specified in clause 5.3.5.10;</w:t>
            </w:r>
          </w:p>
          <w:p w14:paraId="75284F5E" w14:textId="2679BB44" w:rsidR="00F83A51" w:rsidRDefault="00F83A51" w:rsidP="00F83A51">
            <w:pPr>
              <w:pStyle w:val="B3"/>
              <w:spacing w:after="0"/>
              <w:ind w:left="0" w:firstLine="0"/>
            </w:pPr>
          </w:p>
          <w:p w14:paraId="24DB41E4" w14:textId="77777777" w:rsidR="00F83A51" w:rsidRPr="00F83A51" w:rsidRDefault="00F83A51" w:rsidP="00F83A51">
            <w:pPr>
              <w:keepNext/>
              <w:keepLines/>
              <w:spacing w:before="120" w:line="240" w:lineRule="auto"/>
              <w:textAlignment w:val="baseline"/>
              <w:outlineLvl w:val="3"/>
              <w:rPr>
                <w:rFonts w:ascii="Arial" w:eastAsia="Times New Roman" w:hAnsi="Arial"/>
                <w:sz w:val="24"/>
                <w:lang w:val="en-GB" w:eastAsia="ja-JP"/>
              </w:rPr>
            </w:pPr>
            <w:bookmarkStart w:id="8" w:name="_Toc139045034"/>
            <w:r w:rsidRPr="00F83A51">
              <w:rPr>
                <w:rFonts w:ascii="Arial" w:eastAsia="MS Mincho" w:hAnsi="Arial"/>
                <w:sz w:val="24"/>
                <w:lang w:val="en-GB" w:eastAsia="ja-JP"/>
              </w:rPr>
              <w:t>5.3.5.10</w:t>
            </w:r>
            <w:r w:rsidRPr="00F83A51">
              <w:rPr>
                <w:rFonts w:ascii="Arial" w:eastAsia="MS Mincho" w:hAnsi="Arial"/>
                <w:sz w:val="24"/>
                <w:lang w:val="en-GB" w:eastAsia="ja-JP"/>
              </w:rPr>
              <w:tab/>
              <w:t>MR-DC release</w:t>
            </w:r>
            <w:bookmarkEnd w:id="8"/>
          </w:p>
          <w:p w14:paraId="0A7B996E" w14:textId="77777777" w:rsidR="00F83A51" w:rsidRPr="00F83A51" w:rsidRDefault="00F83A51" w:rsidP="00F83A51">
            <w:pPr>
              <w:spacing w:line="240" w:lineRule="auto"/>
              <w:textAlignment w:val="baseline"/>
              <w:rPr>
                <w:rFonts w:eastAsia="MS Mincho"/>
                <w:lang w:val="en-GB" w:eastAsia="ja-JP"/>
              </w:rPr>
            </w:pPr>
            <w:r w:rsidRPr="00F83A51">
              <w:rPr>
                <w:rFonts w:eastAsia="Times New Roman"/>
                <w:lang w:val="en-GB" w:eastAsia="ja-JP"/>
              </w:rPr>
              <w:t>The UE shall:</w:t>
            </w:r>
          </w:p>
          <w:p w14:paraId="42B9BD05" w14:textId="77777777" w:rsidR="00F83A51" w:rsidRPr="00F83A51" w:rsidRDefault="00F83A51" w:rsidP="00F83A51">
            <w:pPr>
              <w:spacing w:line="240" w:lineRule="auto"/>
              <w:ind w:left="568" w:hanging="284"/>
              <w:textAlignment w:val="baseline"/>
              <w:rPr>
                <w:rFonts w:eastAsia="Times New Roman"/>
                <w:lang w:val="en-GB" w:eastAsia="ko-KR"/>
              </w:rPr>
            </w:pPr>
            <w:r w:rsidRPr="00F83A51">
              <w:rPr>
                <w:rFonts w:eastAsia="Times New Roman"/>
                <w:lang w:val="en-GB" w:eastAsia="ko-KR"/>
              </w:rPr>
              <w:t>1&gt;</w:t>
            </w:r>
            <w:r w:rsidRPr="00F83A51">
              <w:rPr>
                <w:rFonts w:eastAsia="Times New Roman"/>
                <w:lang w:val="en-GB" w:eastAsia="ko-KR"/>
              </w:rPr>
              <w:tab/>
              <w:t>as a result of MR-DC release triggered by E-UTRA or NR:</w:t>
            </w:r>
          </w:p>
          <w:p w14:paraId="7A0B85A2" w14:textId="166DA565" w:rsidR="00F83A51" w:rsidRPr="00F83A51" w:rsidRDefault="00F83A51" w:rsidP="00F83A51">
            <w:pPr>
              <w:spacing w:line="240" w:lineRule="auto"/>
              <w:ind w:left="851" w:hanging="284"/>
              <w:textAlignment w:val="baseline"/>
              <w:rPr>
                <w:rFonts w:eastAsia="Times New Roman"/>
                <w:lang w:val="en-GB" w:eastAsia="ko-KR"/>
              </w:rPr>
            </w:pPr>
            <w:r>
              <w:rPr>
                <w:lang w:val="en-GB" w:eastAsia="ko-KR"/>
              </w:rPr>
              <w:t>&lt;partially omitted&gt;</w:t>
            </w:r>
          </w:p>
          <w:p w14:paraId="27128DB7" w14:textId="77777777" w:rsidR="00F83A51" w:rsidRPr="00F83A51" w:rsidRDefault="00F83A51" w:rsidP="00F83A51">
            <w:pPr>
              <w:spacing w:line="240" w:lineRule="auto"/>
              <w:ind w:left="851" w:hanging="284"/>
              <w:textAlignment w:val="baseline"/>
              <w:rPr>
                <w:rFonts w:eastAsia="Times New Roman"/>
                <w:lang w:val="en-GB" w:eastAsia="ko-KR"/>
              </w:rPr>
            </w:pPr>
            <w:r w:rsidRPr="00F83A51">
              <w:rPr>
                <w:rFonts w:eastAsia="Times New Roman"/>
                <w:lang w:val="en-GB" w:eastAsia="ja-JP"/>
              </w:rPr>
              <w:t>2&gt;</w:t>
            </w:r>
            <w:r w:rsidRPr="00F83A51">
              <w:rPr>
                <w:rFonts w:eastAsia="Times New Roman"/>
                <w:lang w:val="en-GB" w:eastAsia="ja-JP"/>
              </w:rPr>
              <w:tab/>
              <w:t>if the UE is configured with NR SCG:</w:t>
            </w:r>
          </w:p>
          <w:p w14:paraId="35E48B59" w14:textId="60E17C52" w:rsidR="009E7307" w:rsidRPr="002E4F88" w:rsidRDefault="00F83A51" w:rsidP="002E4F88">
            <w:pPr>
              <w:spacing w:line="240" w:lineRule="auto"/>
              <w:ind w:left="1135" w:hanging="284"/>
              <w:textAlignment w:val="baseline"/>
              <w:rPr>
                <w:rFonts w:eastAsia="Times New Roman"/>
                <w:lang w:val="en-GB" w:eastAsia="ja-JP"/>
              </w:rPr>
            </w:pPr>
            <w:r w:rsidRPr="00F83A51">
              <w:rPr>
                <w:rFonts w:eastAsia="Times New Roman"/>
                <w:lang w:val="en-GB" w:eastAsia="ja-JP"/>
              </w:rPr>
              <w:t>3&gt;</w:t>
            </w:r>
            <w:r w:rsidRPr="00F83A51">
              <w:rPr>
                <w:rFonts w:eastAsia="Times New Roman"/>
                <w:lang w:val="en-GB" w:eastAsia="ja-JP"/>
              </w:rPr>
              <w:tab/>
              <w:t>release the SCG configuration as specified in clause 5.3.5.4;</w:t>
            </w:r>
          </w:p>
        </w:tc>
      </w:tr>
    </w:tbl>
    <w:p w14:paraId="1E69AC09" w14:textId="56F9A751" w:rsidR="00E620A6" w:rsidRDefault="00E620A6" w:rsidP="00612C26">
      <w:pPr>
        <w:spacing w:after="0"/>
        <w:rPr>
          <w:lang w:val="en-GB" w:eastAsia="zh-CN"/>
        </w:rPr>
      </w:pPr>
    </w:p>
    <w:p w14:paraId="42DB8827" w14:textId="0379732C" w:rsidR="00E71467" w:rsidRDefault="00E71467" w:rsidP="00E71467">
      <w:pPr>
        <w:pStyle w:val="Proposal"/>
        <w:tabs>
          <w:tab w:val="left" w:pos="1418"/>
        </w:tabs>
        <w:ind w:left="360" w:hanging="360"/>
        <w:rPr>
          <w:b/>
        </w:rPr>
      </w:pPr>
      <w:r>
        <w:rPr>
          <w:rFonts w:hint="eastAsia"/>
        </w:rPr>
        <w:t>I</w:t>
      </w:r>
      <w:r>
        <w:t xml:space="preserve">n the last meeting, RAN3 </w:t>
      </w:r>
      <w:r w:rsidR="00CB4BB0">
        <w:t>made</w:t>
      </w:r>
      <w:r>
        <w:t xml:space="preserve"> the following agreements:</w:t>
      </w:r>
    </w:p>
    <w:p w14:paraId="7B030DF1" w14:textId="77777777" w:rsidR="00E71467" w:rsidRPr="000D0D6C" w:rsidRDefault="00E71467" w:rsidP="00E71467">
      <w:pPr>
        <w:spacing w:before="100" w:beforeAutospacing="1" w:after="100" w:afterAutospacing="1"/>
        <w:rPr>
          <w:rFonts w:ascii="Calibri" w:hAnsi="Calibri" w:cs="Calibri"/>
          <w:b/>
          <w:color w:val="008000"/>
          <w:sz w:val="18"/>
          <w:szCs w:val="22"/>
          <w:lang w:eastAsia="zh-CN"/>
        </w:rPr>
      </w:pPr>
      <w:r w:rsidRPr="000D0D6C">
        <w:rPr>
          <w:rFonts w:ascii="Calibri" w:hAnsi="Calibri" w:cs="Calibri"/>
          <w:b/>
          <w:color w:val="008000"/>
          <w:sz w:val="18"/>
          <w:szCs w:val="22"/>
          <w:lang w:eastAsia="zh-CN"/>
        </w:rPr>
        <w:t>If the SN configured a UE with QoE measurements, at SN release, the QoE/RVQoE configuration can be released. Whether the SN-configured QoE/RVQoE configuration information can be passed to the MN in case of SN release needs to be further discussed.</w:t>
      </w:r>
    </w:p>
    <w:p w14:paraId="3F3AC538" w14:textId="7DE8DACC" w:rsidR="00E71467" w:rsidRDefault="00E71467" w:rsidP="00E71467">
      <w:pPr>
        <w:rPr>
          <w:lang w:eastAsia="zh-CN"/>
        </w:rPr>
      </w:pPr>
      <w:r w:rsidRPr="008F711B">
        <w:rPr>
          <w:lang w:eastAsia="zh-CN"/>
        </w:rPr>
        <w:t>In R17 QoE, the UE releases the QoE measurement when the UE enters RRC_IDLE.</w:t>
      </w:r>
      <w:r>
        <w:rPr>
          <w:lang w:eastAsia="zh-CN"/>
        </w:rPr>
        <w:t xml:space="preserve"> </w:t>
      </w:r>
      <w:r>
        <w:rPr>
          <w:rFonts w:hint="eastAsia"/>
          <w:lang w:eastAsia="zh-CN"/>
        </w:rPr>
        <w:t>I</w:t>
      </w:r>
      <w:r>
        <w:rPr>
          <w:lang w:eastAsia="zh-CN"/>
        </w:rPr>
        <w:t>n NR-DC, the UE will release the whole SCG configuration when the SCG is released. However, in order to keep the continuity of services, the MN can transmit the services which were served by the SN. For example, the MN can reconfigure or add DRBs for these services. For these cases, we need to keep the QoE measurement continuity because the services are still on-going, the UE can also report the QoE results to the MN so that MCE can still obtain the QoE results and MN can use the RAN visible QoE results to optimize the scheduling.</w:t>
      </w:r>
    </w:p>
    <w:p w14:paraId="4CACDA1F" w14:textId="11DBA286" w:rsidR="00E71467" w:rsidRDefault="00E71467" w:rsidP="00E71467">
      <w:pPr>
        <w:rPr>
          <w:lang w:eastAsia="zh-CN"/>
        </w:rPr>
      </w:pPr>
      <w:r>
        <w:rPr>
          <w:lang w:eastAsia="zh-CN"/>
        </w:rPr>
        <w:t xml:space="preserve">It may be argued that it is strange that UE sends the QoE results to MN for QoE configurations which were not configured by the MN. However, it has been already agreed that the network can switch the QoE reporting leg. It means that UE can send the QoE reporting to MN even if MN did not configure the QoE measurement for UE. Therefore, we think the network can use the same principle to switch the QoE reporting </w:t>
      </w:r>
      <w:r w:rsidR="00B47935">
        <w:rPr>
          <w:lang w:eastAsia="zh-CN"/>
        </w:rPr>
        <w:t>during</w:t>
      </w:r>
      <w:r>
        <w:rPr>
          <w:lang w:eastAsia="zh-CN"/>
        </w:rPr>
        <w:t xml:space="preserve"> SN release.</w:t>
      </w:r>
    </w:p>
    <w:p w14:paraId="1E38BCDE" w14:textId="3F9F03EE" w:rsidR="00E71467" w:rsidRPr="00B47935" w:rsidRDefault="00E71467" w:rsidP="00B47935">
      <w:pPr>
        <w:rPr>
          <w:lang w:eastAsia="zh-CN"/>
        </w:rPr>
      </w:pPr>
      <w:r>
        <w:rPr>
          <w:rFonts w:hint="eastAsia"/>
          <w:lang w:eastAsia="zh-CN"/>
        </w:rPr>
        <w:lastRenderedPageBreak/>
        <w:t>I</w:t>
      </w:r>
      <w:r>
        <w:rPr>
          <w:lang w:eastAsia="zh-CN"/>
        </w:rPr>
        <w:t>n order to forward the QoE results to MCE by MN after the SN release and optimize the scheduling based on the</w:t>
      </w:r>
      <w:r w:rsidR="00B47935">
        <w:rPr>
          <w:lang w:eastAsia="zh-CN"/>
        </w:rPr>
        <w:t xml:space="preserve"> </w:t>
      </w:r>
      <w:r>
        <w:rPr>
          <w:lang w:eastAsia="zh-CN"/>
        </w:rPr>
        <w:t>RAN visible QoE results, MN needs to know the MCE address and the RAN visible QoE configuration.</w:t>
      </w:r>
    </w:p>
    <w:p w14:paraId="01B24FD1" w14:textId="590D5E25" w:rsidR="00E71467" w:rsidRPr="00B47935" w:rsidRDefault="00B47935" w:rsidP="00B47935">
      <w:pPr>
        <w:rPr>
          <w:b/>
          <w:lang w:val="en-GB" w:eastAsia="zh-CN"/>
        </w:rPr>
      </w:pPr>
      <w:r>
        <w:rPr>
          <w:b/>
          <w:lang w:val="en-GB" w:eastAsia="zh-CN"/>
        </w:rPr>
        <w:t xml:space="preserve">Proposal 3: </w:t>
      </w:r>
      <w:r w:rsidR="00E71467" w:rsidRPr="00B47935">
        <w:rPr>
          <w:b/>
          <w:lang w:val="en-GB" w:eastAsia="zh-CN"/>
        </w:rPr>
        <w:t xml:space="preserve">For the QoE measurement configured by the SN, continue the QoE measurement if the services are still on-going in the SN release case. MN receives the QoE/RAN visible QoE configuration information from SN and informs UE whether to keep the QoE measurement. </w:t>
      </w:r>
    </w:p>
    <w:p w14:paraId="3596CBC0" w14:textId="56A55F8A" w:rsidR="00E60435" w:rsidRPr="005378EB" w:rsidRDefault="00C70737" w:rsidP="00E60435">
      <w:pPr>
        <w:pStyle w:val="Heading2"/>
        <w:ind w:left="567"/>
      </w:pPr>
      <w:r>
        <w:t>Forwarding of</w:t>
      </w:r>
      <w:r w:rsidR="00E60435">
        <w:t xml:space="preserve"> SN-associated QoE reports received via SRB4</w:t>
      </w:r>
    </w:p>
    <w:p w14:paraId="2872C915" w14:textId="7EF8A66A" w:rsidR="00E60435" w:rsidRDefault="00E60435" w:rsidP="00E60435">
      <w:pPr>
        <w:spacing w:after="0"/>
        <w:rPr>
          <w:lang w:val="en-GB" w:eastAsia="zh-CN"/>
        </w:rPr>
      </w:pPr>
      <w:r>
        <w:rPr>
          <w:rFonts w:hint="eastAsia"/>
          <w:lang w:val="en-GB" w:eastAsia="zh-CN"/>
        </w:rPr>
        <w:t>T</w:t>
      </w:r>
      <w:r>
        <w:rPr>
          <w:lang w:val="en-GB" w:eastAsia="zh-CN"/>
        </w:rPr>
        <w:t xml:space="preserve">he RAN2 </w:t>
      </w:r>
      <w:r w:rsidR="001F30B9">
        <w:rPr>
          <w:lang w:val="en-GB" w:eastAsia="zh-CN"/>
        </w:rPr>
        <w:t>made the following agreement</w:t>
      </w:r>
      <w:r>
        <w:rPr>
          <w:lang w:val="en-GB" w:eastAsia="zh-CN"/>
        </w:rPr>
        <w:t>:</w:t>
      </w:r>
    </w:p>
    <w:tbl>
      <w:tblPr>
        <w:tblStyle w:val="TableGrid"/>
        <w:tblW w:w="0" w:type="auto"/>
        <w:tblLook w:val="04A0" w:firstRow="1" w:lastRow="0" w:firstColumn="1" w:lastColumn="0" w:noHBand="0" w:noVBand="1"/>
      </w:tblPr>
      <w:tblGrid>
        <w:gridCol w:w="9350"/>
      </w:tblGrid>
      <w:tr w:rsidR="00E60435" w14:paraId="43341078" w14:textId="77777777" w:rsidTr="00F15A5A">
        <w:tc>
          <w:tcPr>
            <w:tcW w:w="9350" w:type="dxa"/>
          </w:tcPr>
          <w:p w14:paraId="5698E91E" w14:textId="77777777" w:rsidR="00E60435" w:rsidRPr="00B374EF" w:rsidRDefault="00E60435" w:rsidP="00E60435">
            <w:pPr>
              <w:pStyle w:val="Agreement"/>
              <w:tabs>
                <w:tab w:val="clear" w:pos="-810"/>
                <w:tab w:val="clear" w:pos="1800"/>
                <w:tab w:val="num" w:pos="1619"/>
              </w:tabs>
              <w:spacing w:line="240" w:lineRule="auto"/>
              <w:ind w:left="1619"/>
              <w:rPr>
                <w:lang w:eastAsia="zh-CN"/>
              </w:rPr>
            </w:pPr>
            <w:r w:rsidRPr="00FC57B0">
              <w:t xml:space="preserve">9: For NR-DC, if SRB5 is not configured </w:t>
            </w:r>
            <w:r w:rsidRPr="001F30B9">
              <w:t>(FFS on the SCG deactivation case),</w:t>
            </w:r>
            <w:r w:rsidRPr="00FC57B0">
              <w:t xml:space="preserve"> UE can transmit the SN-associated QoE reports via SRB4. </w:t>
            </w:r>
            <w:r w:rsidRPr="004F44D8">
              <w:rPr>
                <w:highlight w:val="yellow"/>
              </w:rPr>
              <w:t>FFS whether there are some ambiguities how MN knows where to forward this.</w:t>
            </w:r>
            <w:r w:rsidRPr="00FC57B0">
              <w:t xml:space="preserve"> </w:t>
            </w:r>
          </w:p>
        </w:tc>
      </w:tr>
    </w:tbl>
    <w:p w14:paraId="3F68AD00" w14:textId="77777777" w:rsidR="00E60435" w:rsidRDefault="00E60435" w:rsidP="00E60435">
      <w:pPr>
        <w:spacing w:after="0"/>
        <w:rPr>
          <w:lang w:eastAsia="zh-CN"/>
        </w:rPr>
      </w:pPr>
    </w:p>
    <w:p w14:paraId="2DC1B7F0" w14:textId="77777777" w:rsidR="00E60435" w:rsidRDefault="00E60435" w:rsidP="00E60435">
      <w:pPr>
        <w:spacing w:after="0"/>
        <w:rPr>
          <w:lang w:eastAsia="zh-CN"/>
        </w:rPr>
      </w:pPr>
      <w:r>
        <w:rPr>
          <w:rFonts w:hint="eastAsia"/>
          <w:lang w:eastAsia="zh-CN"/>
        </w:rPr>
        <w:t>A</w:t>
      </w:r>
      <w:r>
        <w:rPr>
          <w:lang w:eastAsia="zh-CN"/>
        </w:rPr>
        <w:t>t RAN3#119b-e, the following agreements were made:</w:t>
      </w:r>
    </w:p>
    <w:p w14:paraId="7BBA2AFB" w14:textId="77777777" w:rsidR="00E60435" w:rsidRPr="00CD612A" w:rsidRDefault="00E60435" w:rsidP="00E60435">
      <w:pPr>
        <w:numPr>
          <w:ilvl w:val="0"/>
          <w:numId w:val="37"/>
        </w:numPr>
        <w:spacing w:after="0" w:line="240" w:lineRule="auto"/>
        <w:rPr>
          <w:lang w:eastAsia="zh-CN"/>
        </w:rPr>
      </w:pPr>
      <w:r w:rsidRPr="00CD612A">
        <w:rPr>
          <w:lang w:eastAsia="zh-CN"/>
        </w:rPr>
        <w:t>If the SN is asked by the MN to forward to the MCE the QoE reports pertaining to a measurement configured by the MN, the MN should indicate to the SN the QoE Reference, the MCE IP Address and the RRC ID.</w:t>
      </w:r>
    </w:p>
    <w:p w14:paraId="300FD340" w14:textId="77777777" w:rsidR="00E60435" w:rsidRPr="00CD612A" w:rsidRDefault="00E60435" w:rsidP="00E60435">
      <w:pPr>
        <w:numPr>
          <w:ilvl w:val="0"/>
          <w:numId w:val="37"/>
        </w:numPr>
        <w:spacing w:after="0" w:line="240" w:lineRule="auto"/>
        <w:rPr>
          <w:lang w:eastAsia="zh-CN"/>
        </w:rPr>
      </w:pPr>
      <w:r w:rsidRPr="00CD612A">
        <w:rPr>
          <w:lang w:eastAsia="zh-CN"/>
        </w:rPr>
        <w:t>If the MN is asked by the SN to forward to the MCE the QoE reports pertaining to a measurement configured by the SN, the SN should indicate to the MN the QoE Reference and the MCE IP Address.</w:t>
      </w:r>
    </w:p>
    <w:p w14:paraId="6A27FFA9" w14:textId="77777777" w:rsidR="00E60435" w:rsidRPr="00CD612A" w:rsidRDefault="00E60435" w:rsidP="00E60435">
      <w:pPr>
        <w:numPr>
          <w:ilvl w:val="0"/>
          <w:numId w:val="37"/>
        </w:numPr>
        <w:spacing w:after="0" w:line="240" w:lineRule="auto"/>
        <w:rPr>
          <w:lang w:eastAsia="zh-CN"/>
        </w:rPr>
      </w:pPr>
      <w:r w:rsidRPr="00CD612A">
        <w:rPr>
          <w:lang w:eastAsia="zh-CN"/>
        </w:rPr>
        <w:t>If the SRB5 is not configured, the RVQoE reports can be sent on the SRB4 from the UE via the MN to the SN.</w:t>
      </w:r>
    </w:p>
    <w:p w14:paraId="1B87E631" w14:textId="77777777" w:rsidR="00E60435" w:rsidRDefault="00E60435" w:rsidP="00E60435">
      <w:pPr>
        <w:spacing w:after="0"/>
        <w:rPr>
          <w:lang w:eastAsia="zh-CN"/>
        </w:rPr>
      </w:pPr>
    </w:p>
    <w:p w14:paraId="47969993" w14:textId="5BEF0861" w:rsidR="00E60435" w:rsidRDefault="001F30B9" w:rsidP="00E60435">
      <w:pPr>
        <w:spacing w:after="0"/>
        <w:rPr>
          <w:lang w:eastAsia="zh-CN"/>
        </w:rPr>
      </w:pPr>
      <w:r>
        <w:rPr>
          <w:lang w:eastAsia="zh-CN"/>
        </w:rPr>
        <w:t xml:space="preserve">As can be seen from the agreements, </w:t>
      </w:r>
      <w:r w:rsidR="00E60435">
        <w:rPr>
          <w:lang w:eastAsia="zh-CN"/>
        </w:rPr>
        <w:t>MN forward</w:t>
      </w:r>
      <w:r w:rsidR="00196961">
        <w:rPr>
          <w:lang w:eastAsia="zh-CN"/>
        </w:rPr>
        <w:t>ing</w:t>
      </w:r>
      <w:r w:rsidR="00E60435">
        <w:rPr>
          <w:lang w:eastAsia="zh-CN"/>
        </w:rPr>
        <w:t xml:space="preserve"> SN-associated QoE reports received via SRB4 will be anyway discussed by RAN3</w:t>
      </w:r>
      <w:r w:rsidR="00196961">
        <w:rPr>
          <w:lang w:eastAsia="zh-CN"/>
        </w:rPr>
        <w:t xml:space="preserve"> and specified in XnAP</w:t>
      </w:r>
      <w:r w:rsidR="00E60435">
        <w:rPr>
          <w:lang w:eastAsia="zh-CN"/>
        </w:rPr>
        <w:t>.</w:t>
      </w:r>
    </w:p>
    <w:p w14:paraId="778E89F2" w14:textId="77777777" w:rsidR="00E60435" w:rsidRDefault="00E60435" w:rsidP="00E60435">
      <w:pPr>
        <w:spacing w:after="0"/>
        <w:rPr>
          <w:lang w:eastAsia="zh-CN"/>
        </w:rPr>
      </w:pPr>
    </w:p>
    <w:p w14:paraId="324EF82F" w14:textId="06C34017" w:rsidR="00E60435" w:rsidRPr="00D216CF" w:rsidRDefault="00E60435" w:rsidP="00E90D7C">
      <w:pPr>
        <w:rPr>
          <w:b/>
          <w:lang w:eastAsia="zh-CN"/>
        </w:rPr>
      </w:pPr>
      <w:r w:rsidRPr="00D216CF">
        <w:rPr>
          <w:rFonts w:hint="eastAsia"/>
          <w:b/>
          <w:lang w:eastAsia="zh-CN"/>
        </w:rPr>
        <w:t>O</w:t>
      </w:r>
      <w:r w:rsidRPr="00D216CF">
        <w:rPr>
          <w:b/>
          <w:lang w:eastAsia="zh-CN"/>
        </w:rPr>
        <w:t xml:space="preserve">bservation </w:t>
      </w:r>
      <w:r w:rsidR="001A0F4A">
        <w:rPr>
          <w:b/>
          <w:lang w:eastAsia="zh-CN"/>
        </w:rPr>
        <w:t>1</w:t>
      </w:r>
      <w:r w:rsidRPr="00D216CF">
        <w:rPr>
          <w:b/>
          <w:lang w:eastAsia="zh-CN"/>
        </w:rPr>
        <w:t xml:space="preserve">: </w:t>
      </w:r>
      <w:r>
        <w:rPr>
          <w:b/>
          <w:lang w:eastAsia="zh-CN"/>
        </w:rPr>
        <w:t>RAN3 has m</w:t>
      </w:r>
      <w:r w:rsidRPr="00D216CF">
        <w:rPr>
          <w:b/>
          <w:lang w:eastAsia="zh-CN"/>
        </w:rPr>
        <w:t xml:space="preserve">ade some progress regarding </w:t>
      </w:r>
      <w:r w:rsidR="001F30B9">
        <w:rPr>
          <w:b/>
        </w:rPr>
        <w:t>h</w:t>
      </w:r>
      <w:r w:rsidRPr="00D216CF">
        <w:rPr>
          <w:b/>
        </w:rPr>
        <w:t>ow MN forwards SN-associated QoE reports received via SRB4</w:t>
      </w:r>
      <w:r>
        <w:rPr>
          <w:b/>
          <w:lang w:eastAsia="zh-CN"/>
        </w:rPr>
        <w:t>, and RAN2 can rely on RAN3 on solving the issue.</w:t>
      </w:r>
    </w:p>
    <w:p w14:paraId="1A93F2E0" w14:textId="63D65B73" w:rsidR="00E60435" w:rsidRPr="00CD612A" w:rsidRDefault="00A57A4B" w:rsidP="0014071A">
      <w:pPr>
        <w:rPr>
          <w:lang w:eastAsia="zh-CN"/>
        </w:rPr>
      </w:pPr>
      <w:r>
        <w:rPr>
          <w:lang w:eastAsia="zh-CN"/>
        </w:rPr>
        <w:t>RAN2 can then focus on deciding which message to utilize for QoE reporting in different scenarios without having to consider details of MN-SN coordination and QoE reports forwarding.</w:t>
      </w:r>
    </w:p>
    <w:p w14:paraId="38D94003" w14:textId="77777777" w:rsidR="00E60435" w:rsidRDefault="00E60435" w:rsidP="00E60435">
      <w:pPr>
        <w:spacing w:after="0"/>
        <w:rPr>
          <w:lang w:eastAsia="zh-CN"/>
        </w:rPr>
      </w:pPr>
      <w:r w:rsidRPr="00582196">
        <w:rPr>
          <w:lang w:eastAsia="zh-CN"/>
        </w:rPr>
        <w:t xml:space="preserve">In MR-DC, </w:t>
      </w:r>
      <w:r>
        <w:rPr>
          <w:lang w:eastAsia="zh-CN"/>
        </w:rPr>
        <w:t xml:space="preserve">SRB3 is optional. If SRB3 is not configured, UE </w:t>
      </w:r>
      <w:r w:rsidRPr="00582196">
        <w:rPr>
          <w:lang w:eastAsia="zh-CN"/>
        </w:rPr>
        <w:t>transfer</w:t>
      </w:r>
      <w:r>
        <w:rPr>
          <w:lang w:eastAsia="zh-CN"/>
        </w:rPr>
        <w:t>s the SN</w:t>
      </w:r>
      <w:r w:rsidRPr="00582196">
        <w:rPr>
          <w:lang w:eastAsia="zh-CN"/>
        </w:rPr>
        <w:t xml:space="preserve"> </w:t>
      </w:r>
      <w:r w:rsidRPr="0005054B">
        <w:rPr>
          <w:i/>
          <w:lang w:eastAsia="zh-CN"/>
        </w:rPr>
        <w:t>MeasurementReport</w:t>
      </w:r>
      <w:r w:rsidRPr="00582196">
        <w:rPr>
          <w:lang w:eastAsia="zh-CN"/>
        </w:rPr>
        <w:t xml:space="preserve">, </w:t>
      </w:r>
      <w:r>
        <w:rPr>
          <w:lang w:eastAsia="zh-CN"/>
        </w:rPr>
        <w:t xml:space="preserve">SN </w:t>
      </w:r>
      <w:r w:rsidRPr="0005054B">
        <w:rPr>
          <w:i/>
          <w:lang w:eastAsia="zh-CN"/>
        </w:rPr>
        <w:t>RRCReconfigurationComplete</w:t>
      </w:r>
      <w:r w:rsidRPr="00582196">
        <w:rPr>
          <w:lang w:eastAsia="zh-CN"/>
        </w:rPr>
        <w:t xml:space="preserve">, </w:t>
      </w:r>
      <w:r>
        <w:rPr>
          <w:lang w:eastAsia="zh-CN"/>
        </w:rPr>
        <w:t xml:space="preserve">SN </w:t>
      </w:r>
      <w:r w:rsidRPr="0005054B">
        <w:rPr>
          <w:i/>
          <w:lang w:eastAsia="zh-CN"/>
        </w:rPr>
        <w:t>UEAssistanceInformation</w:t>
      </w:r>
      <w:r w:rsidRPr="00582196">
        <w:rPr>
          <w:lang w:eastAsia="zh-CN"/>
        </w:rPr>
        <w:t xml:space="preserve">, </w:t>
      </w:r>
      <w:r>
        <w:rPr>
          <w:lang w:eastAsia="zh-CN"/>
        </w:rPr>
        <w:t xml:space="preserve">SN </w:t>
      </w:r>
      <w:r w:rsidRPr="0005054B">
        <w:rPr>
          <w:i/>
          <w:lang w:eastAsia="zh-CN"/>
        </w:rPr>
        <w:t>FailureInformation</w:t>
      </w:r>
      <w:r w:rsidRPr="00582196">
        <w:rPr>
          <w:lang w:eastAsia="zh-CN"/>
        </w:rPr>
        <w:t xml:space="preserve">, and </w:t>
      </w:r>
      <w:r>
        <w:rPr>
          <w:lang w:eastAsia="zh-CN"/>
        </w:rPr>
        <w:t xml:space="preserve">SN </w:t>
      </w:r>
      <w:r w:rsidRPr="0005054B">
        <w:rPr>
          <w:i/>
          <w:lang w:eastAsia="zh-CN"/>
        </w:rPr>
        <w:t>IABOtherInformation</w:t>
      </w:r>
      <w:r w:rsidRPr="00582196">
        <w:rPr>
          <w:lang w:eastAsia="zh-CN"/>
        </w:rPr>
        <w:t xml:space="preserve"> messages </w:t>
      </w:r>
      <w:r>
        <w:rPr>
          <w:lang w:eastAsia="zh-CN"/>
        </w:rPr>
        <w:t xml:space="preserve">in the MN </w:t>
      </w:r>
      <w:r w:rsidRPr="0005054B">
        <w:rPr>
          <w:i/>
          <w:lang w:eastAsia="zh-CN"/>
        </w:rPr>
        <w:t>ULInformationTransferMRDC</w:t>
      </w:r>
      <w:r>
        <w:rPr>
          <w:lang w:eastAsia="zh-CN"/>
        </w:rPr>
        <w:t xml:space="preserve"> message. In MR-DC, the MN </w:t>
      </w:r>
      <w:r w:rsidRPr="0005054B">
        <w:rPr>
          <w:i/>
          <w:lang w:eastAsia="zh-CN"/>
        </w:rPr>
        <w:t>ULInformationTransferMRDC</w:t>
      </w:r>
      <w:r>
        <w:rPr>
          <w:lang w:eastAsia="zh-CN"/>
        </w:rPr>
        <w:t xml:space="preserve"> is transmitted via the SRB1 and the scheduling priorities of this message and the SN information included in this message </w:t>
      </w:r>
      <w:r w:rsidRPr="00FC751A">
        <w:rPr>
          <w:lang w:eastAsia="zh-CN"/>
        </w:rPr>
        <w:t>are the same</w:t>
      </w:r>
      <w:r>
        <w:rPr>
          <w:lang w:eastAsia="zh-CN"/>
        </w:rPr>
        <w:t>.</w:t>
      </w:r>
    </w:p>
    <w:p w14:paraId="01797541" w14:textId="703312E6" w:rsidR="00E60435" w:rsidRDefault="00E60435" w:rsidP="00E60435">
      <w:pPr>
        <w:spacing w:after="0"/>
        <w:rPr>
          <w:lang w:eastAsia="zh-CN"/>
        </w:rPr>
      </w:pPr>
      <w:r>
        <w:rPr>
          <w:lang w:eastAsia="zh-CN"/>
        </w:rPr>
        <w:t xml:space="preserve">In R17 QoE measurement, the QoE results are transmitted in the </w:t>
      </w:r>
      <w:r w:rsidRPr="0005054B">
        <w:rPr>
          <w:i/>
          <w:lang w:eastAsia="zh-CN"/>
        </w:rPr>
        <w:t>MeasurementReportAppLayer</w:t>
      </w:r>
      <w:r>
        <w:rPr>
          <w:lang w:eastAsia="zh-CN"/>
        </w:rPr>
        <w:t xml:space="preserve"> message via SRB4. </w:t>
      </w:r>
      <w:r w:rsidR="00E86205">
        <w:rPr>
          <w:lang w:eastAsia="zh-CN"/>
        </w:rPr>
        <w:t>In R18, t</w:t>
      </w:r>
      <w:r>
        <w:rPr>
          <w:lang w:eastAsia="zh-CN"/>
        </w:rPr>
        <w:t>he scheduling priorities of QoE results sent to MN and SN are the same. Therefore, in case SRB5 is not configured</w:t>
      </w:r>
      <w:r w:rsidR="00015718">
        <w:rPr>
          <w:lang w:eastAsia="zh-CN"/>
        </w:rPr>
        <w:t xml:space="preserve"> and SRB4 is configured as the reporting leg</w:t>
      </w:r>
      <w:r>
        <w:rPr>
          <w:lang w:eastAsia="zh-CN"/>
        </w:rPr>
        <w:t xml:space="preserve">, the SN QoE results </w:t>
      </w:r>
      <w:r w:rsidR="00015718">
        <w:rPr>
          <w:lang w:eastAsia="zh-CN"/>
        </w:rPr>
        <w:t xml:space="preserve">can be </w:t>
      </w:r>
      <w:r>
        <w:rPr>
          <w:lang w:eastAsia="zh-CN"/>
        </w:rPr>
        <w:t xml:space="preserve">included in the MN </w:t>
      </w:r>
      <w:r w:rsidRPr="0005054B">
        <w:rPr>
          <w:i/>
          <w:lang w:eastAsia="zh-CN"/>
        </w:rPr>
        <w:t>MeasurementReportAppLayer</w:t>
      </w:r>
      <w:r>
        <w:rPr>
          <w:lang w:eastAsia="zh-CN"/>
        </w:rPr>
        <w:t xml:space="preserve"> message. UE can reuse the existing R17 IEs in </w:t>
      </w:r>
      <w:r w:rsidRPr="0005054B">
        <w:rPr>
          <w:i/>
          <w:lang w:eastAsia="zh-CN"/>
        </w:rPr>
        <w:t>MeasurementReportAppLayer</w:t>
      </w:r>
      <w:r>
        <w:rPr>
          <w:lang w:eastAsia="zh-CN"/>
        </w:rPr>
        <w:t xml:space="preserve"> message to transfer the SN QoE results. RAN3 and RAN2 ha</w:t>
      </w:r>
      <w:r w:rsidR="00015718">
        <w:rPr>
          <w:lang w:eastAsia="zh-CN"/>
        </w:rPr>
        <w:t>ve</w:t>
      </w:r>
      <w:r>
        <w:rPr>
          <w:lang w:eastAsia="zh-CN"/>
        </w:rPr>
        <w:t xml:space="preserve"> agreed that i</w:t>
      </w:r>
      <w:r w:rsidRPr="00344DBB">
        <w:rPr>
          <w:lang w:eastAsia="zh-CN"/>
        </w:rPr>
        <w:t xml:space="preserve">f both MN and SN send the QoE configurations to the UE, MN and SN should not use the same set of </w:t>
      </w:r>
      <w:r w:rsidRPr="00B55E3E">
        <w:rPr>
          <w:i/>
        </w:rPr>
        <w:t>measConfigAppLayerId</w:t>
      </w:r>
      <w:r>
        <w:rPr>
          <w:i/>
        </w:rPr>
        <w:t xml:space="preserve">. </w:t>
      </w:r>
      <w:r w:rsidRPr="00353D4E">
        <w:t>Therefore the</w:t>
      </w:r>
      <w:r>
        <w:t xml:space="preserve"> MN</w:t>
      </w:r>
      <w:r w:rsidRPr="00353D4E">
        <w:t xml:space="preserve"> </w:t>
      </w:r>
      <w:r>
        <w:t xml:space="preserve">knows whether the QoE results received from UE is </w:t>
      </w:r>
      <w:r w:rsidR="00B30041">
        <w:t>associated with</w:t>
      </w:r>
      <w:r>
        <w:t xml:space="preserve"> the SN QoE measurement configuration and can forward the QoE results to SN based on this. </w:t>
      </w:r>
    </w:p>
    <w:p w14:paraId="2B940100" w14:textId="77777777" w:rsidR="00E60435" w:rsidRDefault="00E60435" w:rsidP="00E60435">
      <w:pPr>
        <w:spacing w:after="0"/>
        <w:rPr>
          <w:lang w:eastAsia="zh-CN"/>
        </w:rPr>
      </w:pPr>
      <w:r>
        <w:rPr>
          <w:rFonts w:hint="eastAsia"/>
          <w:lang w:eastAsia="zh-CN"/>
        </w:rPr>
        <w:t>A</w:t>
      </w:r>
      <w:r>
        <w:rPr>
          <w:lang w:eastAsia="zh-CN"/>
        </w:rPr>
        <w:t>lso, according to the agreements of RAN3, both nodes may be interested in knowing the RAN visible QoE results. In such case, if the SN</w:t>
      </w:r>
      <w:r w:rsidRPr="005C43B5">
        <w:rPr>
          <w:lang w:eastAsia="zh-CN"/>
        </w:rPr>
        <w:t xml:space="preserve"> </w:t>
      </w:r>
      <w:r w:rsidRPr="0005054B">
        <w:rPr>
          <w:i/>
          <w:lang w:eastAsia="zh-CN"/>
        </w:rPr>
        <w:t>MeasurementReportAppLayer</w:t>
      </w:r>
      <w:r>
        <w:rPr>
          <w:lang w:eastAsia="zh-CN"/>
        </w:rPr>
        <w:t xml:space="preserve"> is included in the MN </w:t>
      </w:r>
      <w:r w:rsidRPr="0005054B">
        <w:rPr>
          <w:i/>
          <w:lang w:eastAsia="zh-CN"/>
        </w:rPr>
        <w:t>ULInformationTransferMRDC</w:t>
      </w:r>
      <w:r>
        <w:rPr>
          <w:lang w:eastAsia="zh-CN"/>
        </w:rPr>
        <w:t xml:space="preserve"> message, MN needs to send the SN </w:t>
      </w:r>
      <w:r w:rsidRPr="0005054B">
        <w:rPr>
          <w:i/>
          <w:lang w:eastAsia="zh-CN"/>
        </w:rPr>
        <w:t>MeasurementReportAppLayer</w:t>
      </w:r>
      <w:r>
        <w:rPr>
          <w:lang w:eastAsia="zh-CN"/>
        </w:rPr>
        <w:t xml:space="preserve"> to SN and only then SN sends the RAN visible QoE results back to MN. It will increase the delay of RAN visible QoE results and increase signaling over Xn interface. </w:t>
      </w:r>
    </w:p>
    <w:p w14:paraId="67F7344A" w14:textId="77777777" w:rsidR="00E60435" w:rsidRDefault="00E60435" w:rsidP="00E60435">
      <w:pPr>
        <w:spacing w:after="0"/>
        <w:rPr>
          <w:b/>
          <w:lang w:eastAsia="zh-CN"/>
        </w:rPr>
      </w:pPr>
    </w:p>
    <w:p w14:paraId="119DF7AE" w14:textId="69266236" w:rsidR="00E60435" w:rsidRPr="00FD49C2" w:rsidRDefault="00E60435" w:rsidP="00E60435">
      <w:pPr>
        <w:rPr>
          <w:b/>
          <w:lang w:val="en-GB" w:eastAsia="zh-CN"/>
        </w:rPr>
      </w:pPr>
      <w:r w:rsidRPr="00FD49C2">
        <w:rPr>
          <w:rFonts w:hint="eastAsia"/>
          <w:b/>
          <w:lang w:val="en-GB" w:eastAsia="zh-CN"/>
        </w:rPr>
        <w:t>O</w:t>
      </w:r>
      <w:r w:rsidRPr="00FD49C2">
        <w:rPr>
          <w:b/>
          <w:lang w:val="en-GB" w:eastAsia="zh-CN"/>
        </w:rPr>
        <w:t xml:space="preserve">bservation </w:t>
      </w:r>
      <w:r w:rsidR="001A0F4A" w:rsidRPr="00FD49C2">
        <w:rPr>
          <w:b/>
          <w:lang w:val="en-GB" w:eastAsia="zh-CN"/>
        </w:rPr>
        <w:t>2</w:t>
      </w:r>
      <w:r w:rsidRPr="00FD49C2">
        <w:rPr>
          <w:b/>
          <w:lang w:val="en-GB" w:eastAsia="zh-CN"/>
        </w:rPr>
        <w:t>: MN knows whether the measurement report needs to be forwarded to SN based on MN-SN coordination and by knowing the measConfigAppLayerId of the report.</w:t>
      </w:r>
    </w:p>
    <w:p w14:paraId="74338282" w14:textId="13DCB812" w:rsidR="00E60435" w:rsidRPr="00FD49C2" w:rsidRDefault="00E60435" w:rsidP="00E60435">
      <w:pPr>
        <w:rPr>
          <w:b/>
          <w:lang w:val="en-GB" w:eastAsia="zh-CN"/>
        </w:rPr>
      </w:pPr>
      <w:r w:rsidRPr="00FD49C2">
        <w:rPr>
          <w:rFonts w:hint="eastAsia"/>
          <w:b/>
          <w:lang w:val="en-GB" w:eastAsia="zh-CN"/>
        </w:rPr>
        <w:lastRenderedPageBreak/>
        <w:t>O</w:t>
      </w:r>
      <w:r w:rsidRPr="00FD49C2">
        <w:rPr>
          <w:b/>
          <w:lang w:val="en-GB" w:eastAsia="zh-CN"/>
        </w:rPr>
        <w:t xml:space="preserve">bservation </w:t>
      </w:r>
      <w:r w:rsidR="001A0F4A" w:rsidRPr="00FD49C2">
        <w:rPr>
          <w:b/>
          <w:lang w:val="en-GB" w:eastAsia="zh-CN"/>
        </w:rPr>
        <w:t>3</w:t>
      </w:r>
      <w:r w:rsidRPr="00FD49C2">
        <w:rPr>
          <w:b/>
          <w:lang w:val="en-GB" w:eastAsia="zh-CN"/>
        </w:rPr>
        <w:t>: Using MN ULInformationTransferMRDC message for sending the SN MeasurementReportAppLayer may increase the delay and signaling overhead of RVQoE transfer.</w:t>
      </w:r>
    </w:p>
    <w:p w14:paraId="4C0B31EF" w14:textId="77777777" w:rsidR="006E53EC" w:rsidRDefault="006E53EC" w:rsidP="00E60435">
      <w:pPr>
        <w:rPr>
          <w:lang w:eastAsia="zh-CN"/>
        </w:rPr>
      </w:pPr>
      <w:r>
        <w:rPr>
          <w:lang w:eastAsia="zh-CN"/>
        </w:rPr>
        <w:t>Furthermore, the following agreements should be considered</w:t>
      </w:r>
    </w:p>
    <w:tbl>
      <w:tblPr>
        <w:tblStyle w:val="TableGrid"/>
        <w:tblW w:w="0" w:type="auto"/>
        <w:tblLook w:val="04A0" w:firstRow="1" w:lastRow="0" w:firstColumn="1" w:lastColumn="0" w:noHBand="0" w:noVBand="1"/>
      </w:tblPr>
      <w:tblGrid>
        <w:gridCol w:w="9350"/>
      </w:tblGrid>
      <w:tr w:rsidR="006E53EC" w14:paraId="79A384FC" w14:textId="77777777" w:rsidTr="006E53EC">
        <w:tc>
          <w:tcPr>
            <w:tcW w:w="9350" w:type="dxa"/>
          </w:tcPr>
          <w:p w14:paraId="6E8B6226" w14:textId="77777777" w:rsidR="006E53EC" w:rsidRDefault="006E53EC" w:rsidP="006E53EC">
            <w:pPr>
              <w:rPr>
                <w:lang w:eastAsia="zh-CN"/>
              </w:rPr>
            </w:pPr>
            <w:r>
              <w:rPr>
                <w:rFonts w:hint="eastAsia"/>
                <w:lang w:eastAsia="zh-CN"/>
              </w:rPr>
              <w:t>R</w:t>
            </w:r>
            <w:r>
              <w:rPr>
                <w:lang w:eastAsia="zh-CN"/>
              </w:rPr>
              <w:t>AN2#122 agreed that:</w:t>
            </w:r>
          </w:p>
          <w:p w14:paraId="74414E67" w14:textId="77777777" w:rsidR="006E53EC" w:rsidRPr="00FC7581" w:rsidRDefault="006E53EC" w:rsidP="006E53EC">
            <w:pPr>
              <w:rPr>
                <w:i/>
                <w:lang w:eastAsia="zh-CN"/>
              </w:rPr>
            </w:pPr>
            <w:r w:rsidRPr="00FC7581">
              <w:rPr>
                <w:i/>
                <w:sz w:val="21"/>
                <w:szCs w:val="21"/>
              </w:rPr>
              <w:t>RAN2 will follow RAN3 agreements (for NR-DC when SRB5 is not configured) on forwarding the received encapsulated QoE reports to the correct recipient (i.e. MCE or SN)</w:t>
            </w:r>
          </w:p>
          <w:p w14:paraId="482543AA" w14:textId="77777777" w:rsidR="006E53EC" w:rsidRDefault="006E53EC" w:rsidP="006E53EC">
            <w:pPr>
              <w:rPr>
                <w:lang w:eastAsia="zh-CN"/>
              </w:rPr>
            </w:pPr>
          </w:p>
          <w:p w14:paraId="5A84D0E4" w14:textId="569FB666" w:rsidR="006E53EC" w:rsidRDefault="006E53EC" w:rsidP="006E53EC">
            <w:pPr>
              <w:rPr>
                <w:lang w:eastAsia="zh-CN"/>
              </w:rPr>
            </w:pPr>
            <w:r>
              <w:rPr>
                <w:rFonts w:hint="eastAsia"/>
                <w:lang w:eastAsia="zh-CN"/>
              </w:rPr>
              <w:t>R</w:t>
            </w:r>
            <w:r>
              <w:rPr>
                <w:lang w:eastAsia="zh-CN"/>
              </w:rPr>
              <w:t>AN3#119b-e agreed the following:</w:t>
            </w:r>
          </w:p>
          <w:p w14:paraId="344E97E4" w14:textId="77777777" w:rsidR="006E53EC" w:rsidRPr="005A4878" w:rsidRDefault="006E53EC" w:rsidP="006E53EC">
            <w:pPr>
              <w:spacing w:before="120"/>
              <w:rPr>
                <w:rFonts w:ascii="Calibri" w:hAnsi="Calibri" w:cs="Calibri"/>
                <w:b/>
                <w:color w:val="008000"/>
                <w:sz w:val="18"/>
              </w:rPr>
            </w:pPr>
            <w:r w:rsidRPr="005A4878">
              <w:rPr>
                <w:rStyle w:val="15"/>
                <w:rFonts w:ascii="Calibri" w:hAnsi="Calibri" w:cs="Calibri"/>
                <w:b/>
                <w:color w:val="008000"/>
                <w:sz w:val="18"/>
                <w:u w:val="none"/>
              </w:rPr>
              <w:t>When SN indicates its interest in configuring m-based QoE a measurement to a UE:</w:t>
            </w:r>
          </w:p>
          <w:p w14:paraId="4625D03B" w14:textId="77777777" w:rsidR="006E53EC" w:rsidRPr="005A4878" w:rsidRDefault="006E53EC" w:rsidP="006E53EC">
            <w:pPr>
              <w:spacing w:before="120"/>
              <w:rPr>
                <w:rFonts w:ascii="Calibri" w:hAnsi="Calibri" w:cs="Calibri"/>
                <w:b/>
                <w:color w:val="008000"/>
                <w:sz w:val="18"/>
              </w:rPr>
            </w:pPr>
            <w:r w:rsidRPr="005A4878">
              <w:rPr>
                <w:rStyle w:val="15"/>
                <w:rFonts w:ascii="Calibri" w:hAnsi="Calibri" w:cs="Calibri"/>
                <w:b/>
                <w:color w:val="008000"/>
                <w:sz w:val="18"/>
                <w:u w:val="none"/>
              </w:rPr>
              <w:t>The SN can indicate to the MN that the reports are to be sent via the SRB5.</w:t>
            </w:r>
            <w:r w:rsidRPr="005A4878">
              <w:rPr>
                <w:rFonts w:ascii="Calibri" w:hAnsi="Calibri" w:cs="Calibri"/>
                <w:b/>
                <w:color w:val="008000"/>
                <w:sz w:val="18"/>
              </w:rPr>
              <w:t xml:space="preserve"> </w:t>
            </w:r>
          </w:p>
          <w:p w14:paraId="33B24F6F" w14:textId="77777777" w:rsidR="006E53EC" w:rsidRPr="005A4878" w:rsidRDefault="006E53EC" w:rsidP="006E53EC">
            <w:pPr>
              <w:spacing w:before="120"/>
              <w:rPr>
                <w:rStyle w:val="15"/>
                <w:rFonts w:ascii="Calibri" w:hAnsi="Calibri" w:cs="Calibri"/>
                <w:b/>
                <w:sz w:val="18"/>
                <w:u w:val="none"/>
              </w:rPr>
            </w:pPr>
            <w:r w:rsidRPr="005A4878">
              <w:rPr>
                <w:rStyle w:val="15"/>
                <w:rFonts w:ascii="Calibri" w:hAnsi="Calibri" w:cs="Calibri"/>
                <w:b/>
                <w:color w:val="008000"/>
                <w:sz w:val="18"/>
                <w:u w:val="none"/>
              </w:rPr>
              <w:t>The SN can request the use of the SRB4 for reporting, which the MN can confirm or reject.</w:t>
            </w:r>
            <w:r w:rsidRPr="005A4878">
              <w:rPr>
                <w:rStyle w:val="15"/>
                <w:rFonts w:ascii="Calibri" w:hAnsi="Calibri" w:cs="Calibri"/>
                <w:b/>
                <w:sz w:val="18"/>
                <w:u w:val="none"/>
              </w:rPr>
              <w:t xml:space="preserve"> FFS whether the indication is explicit or implicit. </w:t>
            </w:r>
          </w:p>
          <w:p w14:paraId="31ACE567" w14:textId="77777777" w:rsidR="006E53EC" w:rsidRDefault="006E53EC" w:rsidP="006E53EC">
            <w:pPr>
              <w:rPr>
                <w:lang w:eastAsia="zh-CN"/>
              </w:rPr>
            </w:pPr>
          </w:p>
          <w:p w14:paraId="5A9E33A8" w14:textId="26BCBD0A" w:rsidR="006E53EC" w:rsidRDefault="006E53EC" w:rsidP="006E53EC">
            <w:pPr>
              <w:rPr>
                <w:lang w:eastAsia="zh-CN"/>
              </w:rPr>
            </w:pPr>
            <w:r>
              <w:rPr>
                <w:rFonts w:hint="eastAsia"/>
                <w:lang w:eastAsia="zh-CN"/>
              </w:rPr>
              <w:t>R</w:t>
            </w:r>
            <w:r>
              <w:rPr>
                <w:lang w:eastAsia="zh-CN"/>
              </w:rPr>
              <w:t>AN3#120 agreed the following:</w:t>
            </w:r>
          </w:p>
          <w:p w14:paraId="6727B6FA" w14:textId="01A4FA1F" w:rsidR="006E53EC" w:rsidRDefault="006E53EC" w:rsidP="006E53EC">
            <w:pPr>
              <w:spacing w:before="120"/>
              <w:rPr>
                <w:lang w:eastAsia="zh-CN"/>
              </w:rPr>
            </w:pPr>
            <w:r w:rsidRPr="005A4878">
              <w:rPr>
                <w:rStyle w:val="15"/>
                <w:rFonts w:ascii="Calibri" w:hAnsi="Calibri"/>
                <w:b/>
                <w:color w:val="008000"/>
                <w:sz w:val="18"/>
                <w:u w:val="none"/>
              </w:rPr>
              <w:t>If the MN is asked by the SN to forward to the MCE the QoE reports pertaining to a measurement configured by the SN, the SN should indicate to the MN the QoE Reference and the MCE IP Address.</w:t>
            </w:r>
            <w:r w:rsidRPr="005A4878">
              <w:rPr>
                <w:rStyle w:val="15"/>
                <w:rFonts w:ascii="Calibri" w:hAnsi="Calibri" w:cs="Calibri"/>
                <w:b/>
                <w:color w:val="008000"/>
                <w:sz w:val="18"/>
                <w:u w:val="none"/>
              </w:rPr>
              <w:t xml:space="preserve"> </w:t>
            </w:r>
          </w:p>
        </w:tc>
      </w:tr>
    </w:tbl>
    <w:p w14:paraId="26AB3686" w14:textId="77777777" w:rsidR="005A4878" w:rsidRDefault="005A4878" w:rsidP="00E60435">
      <w:pPr>
        <w:rPr>
          <w:lang w:eastAsia="zh-CN"/>
        </w:rPr>
      </w:pPr>
    </w:p>
    <w:p w14:paraId="6E6E49EF" w14:textId="2A42B119" w:rsidR="00FC7581" w:rsidRPr="005A4878" w:rsidRDefault="005A4878" w:rsidP="00E60435">
      <w:pPr>
        <w:rPr>
          <w:lang w:eastAsia="zh-CN"/>
        </w:rPr>
      </w:pPr>
      <w:r w:rsidRPr="005A4878">
        <w:rPr>
          <w:lang w:eastAsia="zh-CN"/>
        </w:rPr>
        <w:t xml:space="preserve">Based on the </w:t>
      </w:r>
      <w:r>
        <w:rPr>
          <w:lang w:eastAsia="zh-CN"/>
        </w:rPr>
        <w:t>above</w:t>
      </w:r>
      <w:r w:rsidRPr="005A4878">
        <w:rPr>
          <w:lang w:eastAsia="zh-CN"/>
        </w:rPr>
        <w:t xml:space="preserve"> agreement</w:t>
      </w:r>
      <w:r>
        <w:rPr>
          <w:lang w:eastAsia="zh-CN"/>
        </w:rPr>
        <w:t>s</w:t>
      </w:r>
      <w:r w:rsidRPr="005A4878">
        <w:rPr>
          <w:lang w:eastAsia="zh-CN"/>
        </w:rPr>
        <w:t xml:space="preserve"> from RAN3, it can be concluded that at least reporting via </w:t>
      </w:r>
      <w:r w:rsidR="006E53EC" w:rsidRPr="006E53EC">
        <w:rPr>
          <w:lang w:eastAsia="zh-CN"/>
        </w:rPr>
        <w:t>MeasurementReportAppLayer</w:t>
      </w:r>
      <w:r w:rsidRPr="005A4878">
        <w:rPr>
          <w:lang w:eastAsia="zh-CN"/>
        </w:rPr>
        <w:t xml:space="preserve"> is needed, </w:t>
      </w:r>
      <w:r w:rsidR="002770F3">
        <w:rPr>
          <w:lang w:eastAsia="zh-CN"/>
        </w:rPr>
        <w:t xml:space="preserve">so that </w:t>
      </w:r>
      <w:r w:rsidR="00196961">
        <w:rPr>
          <w:lang w:eastAsia="zh-CN"/>
        </w:rPr>
        <w:t xml:space="preserve">the case agreed by RAN3 can be supported. Following this, if using </w:t>
      </w:r>
      <w:r w:rsidRPr="005A4878">
        <w:rPr>
          <w:lang w:eastAsia="zh-CN"/>
        </w:rPr>
        <w:t xml:space="preserve">ULInformationTransferMRDC </w:t>
      </w:r>
      <w:r w:rsidR="00196961">
        <w:rPr>
          <w:lang w:eastAsia="zh-CN"/>
        </w:rPr>
        <w:t xml:space="preserve">would be allowed, it would require the UE to know whether reports are intended to be delivered to SN or whether the MN is supposed to forward them to MCE to decide which message to use. At the same time, we see no benefits of using ULInformationTransferMRDC as the reports received by MN can be simply forwarded to SN using XnAP protocol, if they are supposed to be received by SN. </w:t>
      </w:r>
    </w:p>
    <w:p w14:paraId="67B45B6A" w14:textId="48B81F27" w:rsidR="00196961" w:rsidRPr="00196961" w:rsidRDefault="00196961" w:rsidP="00E60435">
      <w:pPr>
        <w:rPr>
          <w:b/>
          <w:lang w:eastAsia="zh-CN"/>
        </w:rPr>
      </w:pPr>
      <w:r w:rsidRPr="00196961">
        <w:rPr>
          <w:b/>
          <w:lang w:eastAsia="zh-CN"/>
        </w:rPr>
        <w:t>Observation 4</w:t>
      </w:r>
      <w:r>
        <w:rPr>
          <w:b/>
          <w:lang w:eastAsia="zh-CN"/>
        </w:rPr>
        <w:t xml:space="preserve">: Based on the current RAN3 agreements, RAN2 needs to support reporting of QoE reports </w:t>
      </w:r>
      <w:r w:rsidR="000C6BFA">
        <w:rPr>
          <w:b/>
          <w:lang w:eastAsia="zh-CN"/>
        </w:rPr>
        <w:t xml:space="preserve">associated with QoE configurations </w:t>
      </w:r>
      <w:r>
        <w:rPr>
          <w:b/>
          <w:lang w:eastAsia="zh-CN"/>
        </w:rPr>
        <w:t xml:space="preserve">configured by the SN via at least </w:t>
      </w:r>
      <w:r w:rsidR="006E53EC" w:rsidRPr="00FD49C2">
        <w:rPr>
          <w:b/>
          <w:lang w:val="en-GB" w:eastAsia="zh-CN"/>
        </w:rPr>
        <w:t>MeasurementReportAppLayer</w:t>
      </w:r>
      <w:r>
        <w:rPr>
          <w:b/>
          <w:lang w:eastAsia="zh-CN"/>
        </w:rPr>
        <w:t xml:space="preserve"> message over SRB4 to support the case where these reports are forwarded to MCE directly by the MN.</w:t>
      </w:r>
    </w:p>
    <w:p w14:paraId="7722AD2F" w14:textId="3642B089" w:rsidR="00E60435" w:rsidRPr="00AA5B27" w:rsidRDefault="00E60435" w:rsidP="00E60435">
      <w:pPr>
        <w:rPr>
          <w:lang w:eastAsia="zh-CN"/>
        </w:rPr>
      </w:pPr>
      <w:r>
        <w:rPr>
          <w:lang w:eastAsia="zh-CN"/>
        </w:rPr>
        <w:t>Based on the observations</w:t>
      </w:r>
      <w:r w:rsidR="000C6BFA">
        <w:rPr>
          <w:lang w:eastAsia="zh-CN"/>
        </w:rPr>
        <w:t xml:space="preserve"> above</w:t>
      </w:r>
      <w:r>
        <w:rPr>
          <w:lang w:eastAsia="zh-CN"/>
        </w:rPr>
        <w:t>, we propose the following:</w:t>
      </w:r>
    </w:p>
    <w:p w14:paraId="085ADCF0" w14:textId="7E86C0CF" w:rsidR="00E60435" w:rsidRPr="00450EC3" w:rsidRDefault="00E60435" w:rsidP="00E60435">
      <w:pPr>
        <w:rPr>
          <w:b/>
          <w:lang w:val="en-GB" w:eastAsia="zh-CN"/>
        </w:rPr>
      </w:pPr>
      <w:r>
        <w:rPr>
          <w:b/>
          <w:lang w:val="en-GB" w:eastAsia="zh-CN"/>
        </w:rPr>
        <w:t xml:space="preserve">Proposal </w:t>
      </w:r>
      <w:r w:rsidR="00EE5915">
        <w:rPr>
          <w:b/>
          <w:lang w:val="en-GB" w:eastAsia="zh-CN"/>
        </w:rPr>
        <w:t>4</w:t>
      </w:r>
      <w:r>
        <w:rPr>
          <w:b/>
          <w:lang w:val="en-GB" w:eastAsia="zh-CN"/>
        </w:rPr>
        <w:t xml:space="preserve">: </w:t>
      </w:r>
      <w:r w:rsidR="00EA439A">
        <w:rPr>
          <w:b/>
          <w:lang w:val="en-GB" w:eastAsia="zh-CN"/>
        </w:rPr>
        <w:t xml:space="preserve">When </w:t>
      </w:r>
      <w:r w:rsidR="000C6BFA">
        <w:rPr>
          <w:b/>
          <w:lang w:eastAsia="zh-CN"/>
        </w:rPr>
        <w:t xml:space="preserve">QoE reports associated with QoE configurations configured by the SN are sent over SRB4, </w:t>
      </w:r>
      <w:r w:rsidR="00EA439A">
        <w:rPr>
          <w:b/>
          <w:lang w:eastAsia="zh-CN"/>
        </w:rPr>
        <w:t xml:space="preserve">they are included in the </w:t>
      </w:r>
      <w:r w:rsidR="006E53EC" w:rsidRPr="00FD49C2">
        <w:rPr>
          <w:b/>
          <w:lang w:val="en-GB" w:eastAsia="zh-CN"/>
        </w:rPr>
        <w:t>MeasurementReportAppLayer</w:t>
      </w:r>
      <w:r w:rsidR="000C6BFA">
        <w:rPr>
          <w:b/>
          <w:lang w:eastAsia="zh-CN"/>
        </w:rPr>
        <w:t xml:space="preserve"> message</w:t>
      </w:r>
      <w:r w:rsidRPr="00450EC3">
        <w:rPr>
          <w:b/>
          <w:lang w:val="en-GB" w:eastAsia="zh-CN"/>
        </w:rPr>
        <w:t>.</w:t>
      </w:r>
    </w:p>
    <w:p w14:paraId="0725E490" w14:textId="3EFD7A3C" w:rsidR="00411EF1" w:rsidRPr="005378EB" w:rsidRDefault="00BD2971" w:rsidP="00411EF1">
      <w:pPr>
        <w:pStyle w:val="Heading2"/>
        <w:ind w:left="567"/>
      </w:pPr>
      <w:r>
        <w:t>Pause of QoE measurement</w:t>
      </w:r>
    </w:p>
    <w:p w14:paraId="62EE7B8E" w14:textId="77777777" w:rsidR="00BD2971" w:rsidRDefault="00BD2971" w:rsidP="00BD2971">
      <w:pPr>
        <w:spacing w:after="0"/>
        <w:rPr>
          <w:lang w:val="en-GB" w:eastAsia="zh-CN"/>
        </w:rPr>
      </w:pPr>
      <w:r>
        <w:rPr>
          <w:rFonts w:hint="eastAsia"/>
          <w:lang w:val="en-GB" w:eastAsia="zh-CN"/>
        </w:rPr>
        <w:t>T</w:t>
      </w:r>
      <w:r>
        <w:rPr>
          <w:lang w:val="en-GB" w:eastAsia="zh-CN"/>
        </w:rPr>
        <w:t>he RAN2 FFS is listed as below:</w:t>
      </w:r>
    </w:p>
    <w:tbl>
      <w:tblPr>
        <w:tblStyle w:val="TableGrid"/>
        <w:tblW w:w="0" w:type="auto"/>
        <w:tblLook w:val="04A0" w:firstRow="1" w:lastRow="0" w:firstColumn="1" w:lastColumn="0" w:noHBand="0" w:noVBand="1"/>
      </w:tblPr>
      <w:tblGrid>
        <w:gridCol w:w="9350"/>
      </w:tblGrid>
      <w:tr w:rsidR="00BD2971" w14:paraId="0E70497E" w14:textId="77777777" w:rsidTr="00F15A5A">
        <w:tc>
          <w:tcPr>
            <w:tcW w:w="9350" w:type="dxa"/>
          </w:tcPr>
          <w:p w14:paraId="7206EAF2" w14:textId="77777777" w:rsidR="00BD2971" w:rsidRPr="00936E50" w:rsidRDefault="00BD2971" w:rsidP="00BD2971">
            <w:pPr>
              <w:pStyle w:val="Agreement"/>
              <w:tabs>
                <w:tab w:val="clear" w:pos="-810"/>
                <w:tab w:val="clear" w:pos="1800"/>
                <w:tab w:val="num" w:pos="1619"/>
              </w:tabs>
              <w:spacing w:line="240" w:lineRule="auto"/>
              <w:ind w:left="1619"/>
              <w:rPr>
                <w:lang w:eastAsia="zh-CN"/>
              </w:rPr>
            </w:pPr>
            <w:r w:rsidRPr="00FC57B0">
              <w:t xml:space="preserve">14: As a baseline, Rel-17 pause/resume procedure is reused to pause/resume reporting of one or multiple QoE measurement configurations in a UE for NR-DC. </w:t>
            </w:r>
            <w:r w:rsidRPr="00936E50">
              <w:rPr>
                <w:highlight w:val="yellow"/>
              </w:rPr>
              <w:t>Details are FFS, e.g. whether paused QoE reports can be reported to SN (if SN is not overload).</w:t>
            </w:r>
          </w:p>
        </w:tc>
      </w:tr>
    </w:tbl>
    <w:p w14:paraId="04C018C1" w14:textId="77777777" w:rsidR="00BD2971" w:rsidRDefault="00BD2971" w:rsidP="00BD2971">
      <w:pPr>
        <w:spacing w:after="0"/>
        <w:rPr>
          <w:lang w:val="en-GB" w:eastAsia="zh-CN"/>
        </w:rPr>
      </w:pPr>
    </w:p>
    <w:p w14:paraId="58825D82" w14:textId="77777777" w:rsidR="00BD2971" w:rsidRDefault="00BD2971" w:rsidP="00BD2971">
      <w:pPr>
        <w:spacing w:after="0"/>
        <w:rPr>
          <w:lang w:val="en-GB" w:eastAsia="zh-CN"/>
        </w:rPr>
      </w:pPr>
      <w:r>
        <w:rPr>
          <w:rFonts w:hint="eastAsia"/>
          <w:lang w:val="en-GB" w:eastAsia="zh-CN"/>
        </w:rPr>
        <w:t>I</w:t>
      </w:r>
      <w:r>
        <w:rPr>
          <w:lang w:val="en-GB" w:eastAsia="zh-CN"/>
        </w:rPr>
        <w:t>n TS 38.300, the pause/resume mechanism is defined (since Rel-17 NR QoE) as follows:</w:t>
      </w:r>
    </w:p>
    <w:tbl>
      <w:tblPr>
        <w:tblStyle w:val="TableGrid"/>
        <w:tblW w:w="0" w:type="auto"/>
        <w:tblLook w:val="04A0" w:firstRow="1" w:lastRow="0" w:firstColumn="1" w:lastColumn="0" w:noHBand="0" w:noVBand="1"/>
      </w:tblPr>
      <w:tblGrid>
        <w:gridCol w:w="9350"/>
      </w:tblGrid>
      <w:tr w:rsidR="00BD2971" w14:paraId="45FE0820" w14:textId="77777777" w:rsidTr="00F15A5A">
        <w:tc>
          <w:tcPr>
            <w:tcW w:w="9350" w:type="dxa"/>
          </w:tcPr>
          <w:p w14:paraId="1C4A2350" w14:textId="77777777" w:rsidR="00BD2971" w:rsidRPr="004438F2" w:rsidRDefault="00BD2971" w:rsidP="00F15A5A">
            <w:pPr>
              <w:pStyle w:val="Heading3"/>
              <w:numPr>
                <w:ilvl w:val="0"/>
                <w:numId w:val="0"/>
              </w:numPr>
              <w:ind w:left="720" w:hanging="720"/>
              <w:outlineLvl w:val="2"/>
            </w:pPr>
            <w:bookmarkStart w:id="9" w:name="_Toc130939110"/>
            <w:r w:rsidRPr="004438F2">
              <w:lastRenderedPageBreak/>
              <w:t>21.2.3</w:t>
            </w:r>
            <w:r w:rsidRPr="004438F2">
              <w:tab/>
              <w:t>Handling of QMC during RAN Overload</w:t>
            </w:r>
            <w:bookmarkEnd w:id="9"/>
          </w:p>
          <w:p w14:paraId="63397ACB" w14:textId="77777777" w:rsidR="00BD2971" w:rsidRPr="004438F2" w:rsidRDefault="00BD2971" w:rsidP="00F15A5A">
            <w:pPr>
              <w:rPr>
                <w:lang w:eastAsia="zh-CN"/>
              </w:rPr>
            </w:pPr>
            <w:r w:rsidRPr="004438F2">
              <w:rPr>
                <w:lang w:eastAsia="zh-CN"/>
              </w:rPr>
              <w:t>The QoE measurement collection pause/resume procedure is used to pause/resume reporting of one or multiple QoE measurement configurations in a UE in RAN overload situation.</w:t>
            </w:r>
          </w:p>
          <w:p w14:paraId="2F28A992" w14:textId="77777777" w:rsidR="00BD2971" w:rsidRPr="00312DC8" w:rsidRDefault="00BD2971" w:rsidP="00F15A5A">
            <w:pPr>
              <w:rPr>
                <w:lang w:eastAsia="zh-CN"/>
              </w:rPr>
            </w:pPr>
            <w:r w:rsidRPr="004438F2">
              <w:rPr>
                <w:lang w:eastAsia="zh-CN"/>
              </w:rPr>
              <w:t>The gNB can use the</w:t>
            </w:r>
            <w:r w:rsidRPr="004438F2">
              <w:rPr>
                <w:i/>
                <w:lang w:eastAsia="zh-CN"/>
              </w:rPr>
              <w:t xml:space="preserve"> RRCReconfiguration</w:t>
            </w:r>
            <w:r w:rsidRPr="004438F2">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tc>
      </w:tr>
    </w:tbl>
    <w:p w14:paraId="3D8A9568" w14:textId="77777777" w:rsidR="00BD2971" w:rsidRPr="006768BB" w:rsidRDefault="00BD2971" w:rsidP="00BD2971">
      <w:pPr>
        <w:spacing w:after="0"/>
        <w:rPr>
          <w:lang w:eastAsia="zh-CN"/>
        </w:rPr>
      </w:pPr>
    </w:p>
    <w:p w14:paraId="08929233" w14:textId="16E06CAE" w:rsidR="00BD2971" w:rsidRDefault="00BD2971" w:rsidP="00BD2971">
      <w:pPr>
        <w:spacing w:after="0"/>
        <w:rPr>
          <w:lang w:val="en-GB" w:eastAsia="zh-CN"/>
        </w:rPr>
      </w:pPr>
      <w:r>
        <w:rPr>
          <w:lang w:val="en-GB" w:eastAsia="zh-CN"/>
        </w:rPr>
        <w:t xml:space="preserve">It was proposed by some companies that pause indication should be leg-specific, i.e. in case one node pauses the QoE configuration, then the reports can be sent over </w:t>
      </w:r>
      <w:r w:rsidR="00827892">
        <w:rPr>
          <w:lang w:val="en-GB" w:eastAsia="zh-CN"/>
        </w:rPr>
        <w:t>the other</w:t>
      </w:r>
      <w:r>
        <w:rPr>
          <w:lang w:val="en-GB" w:eastAsia="zh-CN"/>
        </w:rPr>
        <w:t xml:space="preserve"> leg. However, it should be noted there is already a possibility for the RAN to change the reporting leg of the QoE configuration and it is unclear why another mechanism is needed. Hence, there is no reason to modify the pause indication mechanism and we think the Rel-17 principle should be followed also in R18.</w:t>
      </w:r>
    </w:p>
    <w:p w14:paraId="0D6E8454" w14:textId="77777777" w:rsidR="000D1602" w:rsidRDefault="000D1602" w:rsidP="00BD2971">
      <w:pPr>
        <w:spacing w:after="0"/>
        <w:rPr>
          <w:lang w:val="en-GB" w:eastAsia="zh-CN"/>
        </w:rPr>
      </w:pPr>
    </w:p>
    <w:p w14:paraId="79FF52B7" w14:textId="3AB61EC9" w:rsidR="00BD2971" w:rsidRPr="005F483A" w:rsidRDefault="00BD2971" w:rsidP="00FD49C2">
      <w:pPr>
        <w:rPr>
          <w:b/>
          <w:lang w:val="en-GB" w:eastAsia="zh-CN"/>
        </w:rPr>
      </w:pPr>
      <w:r>
        <w:rPr>
          <w:b/>
          <w:lang w:val="en-GB" w:eastAsia="zh-CN"/>
        </w:rPr>
        <w:t xml:space="preserve">Observation </w:t>
      </w:r>
      <w:r w:rsidR="00251BDD">
        <w:rPr>
          <w:b/>
          <w:lang w:val="en-GB" w:eastAsia="zh-CN"/>
        </w:rPr>
        <w:t>4</w:t>
      </w:r>
      <w:r>
        <w:rPr>
          <w:b/>
          <w:lang w:val="en-GB" w:eastAsia="zh-CN"/>
        </w:rPr>
        <w:t>: T</w:t>
      </w:r>
      <w:r w:rsidRPr="005F483A">
        <w:rPr>
          <w:b/>
          <w:lang w:val="en-GB" w:eastAsia="zh-CN"/>
        </w:rPr>
        <w:t xml:space="preserve">here is already a possibility for RAN to change the reporting leg of the QoE configuration and it is unclear why </w:t>
      </w:r>
      <w:r>
        <w:rPr>
          <w:b/>
          <w:lang w:val="en-GB" w:eastAsia="zh-CN"/>
        </w:rPr>
        <w:t>pause indication should be used for that.</w:t>
      </w:r>
    </w:p>
    <w:p w14:paraId="6E55DB1C" w14:textId="492DB60F" w:rsidR="00BD2971" w:rsidRDefault="00BD2971" w:rsidP="00FD49C2">
      <w:pPr>
        <w:rPr>
          <w:b/>
          <w:lang w:val="en-GB" w:eastAsia="zh-CN"/>
        </w:rPr>
      </w:pPr>
      <w:r>
        <w:rPr>
          <w:b/>
          <w:lang w:val="en-GB" w:eastAsia="zh-CN"/>
        </w:rPr>
        <w:t xml:space="preserve">Proposal </w:t>
      </w:r>
      <w:r w:rsidR="009927B8">
        <w:rPr>
          <w:b/>
          <w:lang w:val="en-GB" w:eastAsia="zh-CN"/>
        </w:rPr>
        <w:t>5</w:t>
      </w:r>
      <w:r>
        <w:rPr>
          <w:b/>
          <w:lang w:val="en-GB" w:eastAsia="zh-CN"/>
        </w:rPr>
        <w:t xml:space="preserve">: </w:t>
      </w:r>
      <w:r>
        <w:rPr>
          <w:rFonts w:hint="eastAsia"/>
          <w:b/>
          <w:lang w:val="en-GB" w:eastAsia="zh-CN"/>
        </w:rPr>
        <w:t>Rel-1</w:t>
      </w:r>
      <w:r>
        <w:rPr>
          <w:b/>
          <w:lang w:val="en-GB" w:eastAsia="zh-CN"/>
        </w:rPr>
        <w:t xml:space="preserve">7 defined pause/resume mechanism </w:t>
      </w:r>
      <w:r w:rsidRPr="004D683A">
        <w:rPr>
          <w:b/>
          <w:lang w:val="en-GB" w:eastAsia="zh-CN"/>
        </w:rPr>
        <w:t>is kept</w:t>
      </w:r>
      <w:r w:rsidR="00F80DA9">
        <w:rPr>
          <w:b/>
          <w:lang w:val="en-GB" w:eastAsia="zh-CN"/>
        </w:rPr>
        <w:t xml:space="preserve"> for NR-DC case</w:t>
      </w:r>
      <w:r w:rsidRPr="004D683A">
        <w:rPr>
          <w:b/>
          <w:lang w:val="en-GB" w:eastAsia="zh-CN"/>
        </w:rPr>
        <w:t xml:space="preserve">, i.e. </w:t>
      </w:r>
      <w:r w:rsidR="00F80DA9">
        <w:rPr>
          <w:b/>
          <w:lang w:val="en-GB" w:eastAsia="zh-CN"/>
        </w:rPr>
        <w:t xml:space="preserve">when the UE receives </w:t>
      </w:r>
      <w:r w:rsidRPr="00FD49C2">
        <w:rPr>
          <w:b/>
          <w:lang w:val="en-GB" w:eastAsia="zh-CN"/>
        </w:rPr>
        <w:t xml:space="preserve">pause </w:t>
      </w:r>
      <w:r w:rsidR="00F80DA9">
        <w:rPr>
          <w:b/>
          <w:lang w:val="en-GB" w:eastAsia="zh-CN"/>
        </w:rPr>
        <w:t>indication, the UE suspends sending of the reports associated with the concerned QoE configuration</w:t>
      </w:r>
      <w:r w:rsidRPr="004D683A">
        <w:rPr>
          <w:b/>
          <w:lang w:val="en-GB" w:eastAsia="zh-CN"/>
        </w:rPr>
        <w:t>.</w:t>
      </w:r>
    </w:p>
    <w:bookmarkEnd w:id="4"/>
    <w:bookmarkEnd w:id="5"/>
    <w:bookmarkEnd w:id="6"/>
    <w:bookmarkEnd w:id="7"/>
    <w:p w14:paraId="0D96F74E" w14:textId="1498E330" w:rsidR="00534F34" w:rsidRDefault="008E0E92">
      <w:pPr>
        <w:pStyle w:val="Heading1"/>
      </w:pPr>
      <w:r>
        <w:t>Conclusion</w:t>
      </w:r>
    </w:p>
    <w:p w14:paraId="3E612353" w14:textId="03612F46" w:rsidR="003E08AB" w:rsidRDefault="00936745" w:rsidP="001E6A27">
      <w:pPr>
        <w:rPr>
          <w:lang w:val="en-GB" w:eastAsia="zh-CN"/>
        </w:rPr>
      </w:pPr>
      <w:r>
        <w:rPr>
          <w:lang w:val="en-GB" w:eastAsia="zh-CN"/>
        </w:rPr>
        <w:t>Based on the discussion in this paper, the following observations and proposals are made:</w:t>
      </w:r>
    </w:p>
    <w:p w14:paraId="75F25847" w14:textId="3AD91266" w:rsidR="00B35CCC" w:rsidRPr="00B35CCC" w:rsidRDefault="00B35CCC" w:rsidP="00B35CCC">
      <w:pPr>
        <w:rPr>
          <w:u w:val="single"/>
          <w:lang w:val="en-GB" w:eastAsia="zh-CN"/>
        </w:rPr>
      </w:pPr>
      <w:r w:rsidRPr="00B35CCC">
        <w:rPr>
          <w:u w:val="single"/>
          <w:lang w:val="en-GB" w:eastAsia="zh-CN"/>
        </w:rPr>
        <w:t>Reporting SRB selection</w:t>
      </w:r>
    </w:p>
    <w:p w14:paraId="38BD7879" w14:textId="078E2EF6" w:rsidR="00B35CCC" w:rsidRDefault="00B35CCC" w:rsidP="00B35CCC">
      <w:pPr>
        <w:rPr>
          <w:b/>
          <w:lang w:val="en-GB" w:eastAsia="zh-CN"/>
        </w:rPr>
      </w:pPr>
      <w:r w:rsidRPr="00C8755D">
        <w:rPr>
          <w:rFonts w:hint="eastAsia"/>
          <w:b/>
          <w:lang w:val="en-GB" w:eastAsia="zh-CN"/>
        </w:rPr>
        <w:t>P</w:t>
      </w:r>
      <w:r w:rsidRPr="00C8755D">
        <w:rPr>
          <w:b/>
          <w:lang w:val="en-GB" w:eastAsia="zh-CN"/>
        </w:rPr>
        <w:t xml:space="preserve">roposal 1: </w:t>
      </w:r>
      <w:r>
        <w:rPr>
          <w:b/>
          <w:lang w:val="en-GB" w:eastAsia="zh-CN"/>
        </w:rPr>
        <w:t xml:space="preserve">Only the reporting leg indicated via explicit configuration to the UE can be used for QoE reporting by the UE. </w:t>
      </w:r>
    </w:p>
    <w:p w14:paraId="6BB28274" w14:textId="77777777" w:rsidR="00B90446" w:rsidRDefault="00B90446" w:rsidP="00B35CCC">
      <w:pPr>
        <w:rPr>
          <w:u w:val="single"/>
          <w:lang w:val="en-GB" w:eastAsia="zh-CN"/>
        </w:rPr>
      </w:pPr>
    </w:p>
    <w:p w14:paraId="74AC3E39" w14:textId="22387A24" w:rsidR="00B35CCC" w:rsidRPr="00C8755D" w:rsidRDefault="00B35CCC" w:rsidP="00B35CCC">
      <w:pPr>
        <w:rPr>
          <w:b/>
          <w:lang w:val="en-GB" w:eastAsia="zh-CN"/>
        </w:rPr>
      </w:pPr>
      <w:r w:rsidRPr="00B35CCC">
        <w:rPr>
          <w:u w:val="single"/>
          <w:lang w:val="en-GB" w:eastAsia="zh-CN"/>
        </w:rPr>
        <w:t>SCG deactivation</w:t>
      </w:r>
    </w:p>
    <w:p w14:paraId="57C390CC" w14:textId="6A37F84D" w:rsidR="00B35CCC" w:rsidRDefault="00B35CCC" w:rsidP="00B35CCC">
      <w:pPr>
        <w:rPr>
          <w:b/>
          <w:lang w:val="en-GB" w:eastAsia="zh-CN"/>
        </w:rPr>
      </w:pPr>
      <w:r w:rsidRPr="0088221E">
        <w:rPr>
          <w:rFonts w:hint="eastAsia"/>
          <w:b/>
          <w:lang w:val="en-GB" w:eastAsia="zh-CN"/>
        </w:rPr>
        <w:t>P</w:t>
      </w:r>
      <w:r w:rsidRPr="0088221E">
        <w:rPr>
          <w:b/>
          <w:lang w:val="en-GB" w:eastAsia="zh-CN"/>
        </w:rPr>
        <w:t xml:space="preserve">roposal </w:t>
      </w:r>
      <w:r>
        <w:rPr>
          <w:b/>
          <w:lang w:val="en-GB" w:eastAsia="zh-CN"/>
        </w:rPr>
        <w:t>2</w:t>
      </w:r>
      <w:r w:rsidRPr="0088221E">
        <w:rPr>
          <w:b/>
          <w:lang w:val="en-GB" w:eastAsia="zh-CN"/>
        </w:rPr>
        <w:t xml:space="preserve">: </w:t>
      </w:r>
      <w:r>
        <w:rPr>
          <w:b/>
          <w:lang w:val="en-GB" w:eastAsia="zh-CN"/>
        </w:rPr>
        <w:t>When SCG is deactivated, the network should ensure that there are no QoE configurations which are configured with SRB5 as the reporting leg, e.g. by releasing or pausing such QoE configurations or by switching the reporting leg to SRB4.</w:t>
      </w:r>
    </w:p>
    <w:p w14:paraId="179DE0CE" w14:textId="77777777" w:rsidR="00B90446" w:rsidRDefault="00B90446" w:rsidP="00B35CCC">
      <w:pPr>
        <w:rPr>
          <w:u w:val="single"/>
          <w:lang w:val="en-GB" w:eastAsia="zh-CN"/>
        </w:rPr>
      </w:pPr>
    </w:p>
    <w:p w14:paraId="08431798" w14:textId="75213FEA" w:rsidR="00B35CCC" w:rsidRPr="00C8755D" w:rsidRDefault="00B35CCC" w:rsidP="00B35CCC">
      <w:pPr>
        <w:rPr>
          <w:b/>
          <w:lang w:val="en-GB" w:eastAsia="zh-CN"/>
        </w:rPr>
      </w:pPr>
      <w:r w:rsidRPr="00B35CCC">
        <w:rPr>
          <w:u w:val="single"/>
          <w:lang w:val="en-GB" w:eastAsia="zh-CN"/>
        </w:rPr>
        <w:t xml:space="preserve">SCG </w:t>
      </w:r>
      <w:r>
        <w:rPr>
          <w:u w:val="single"/>
          <w:lang w:val="en-GB" w:eastAsia="zh-CN"/>
        </w:rPr>
        <w:t>release</w:t>
      </w:r>
    </w:p>
    <w:p w14:paraId="0496CFF5" w14:textId="460ED32E" w:rsidR="00B35CCC" w:rsidRDefault="00B35CCC" w:rsidP="00B35CCC">
      <w:pPr>
        <w:rPr>
          <w:b/>
          <w:lang w:val="en-GB" w:eastAsia="zh-CN"/>
        </w:rPr>
      </w:pPr>
      <w:r>
        <w:rPr>
          <w:b/>
          <w:lang w:val="en-GB" w:eastAsia="zh-CN"/>
        </w:rPr>
        <w:t xml:space="preserve">Proposal 3: </w:t>
      </w:r>
      <w:r w:rsidRPr="00B47935">
        <w:rPr>
          <w:b/>
          <w:lang w:val="en-GB" w:eastAsia="zh-CN"/>
        </w:rPr>
        <w:t xml:space="preserve">For the QoE measurement configured by the SN, continue the QoE measurement if the services are still on-going in the SN release case. MN receives the QoE/RAN visible QoE configuration information from SN and informs UE whether to keep the QoE measurement. </w:t>
      </w:r>
    </w:p>
    <w:p w14:paraId="4D44FF90" w14:textId="77777777" w:rsidR="00B90446" w:rsidRDefault="00B90446" w:rsidP="00E5058D">
      <w:pPr>
        <w:rPr>
          <w:u w:val="single"/>
          <w:lang w:val="en-GB" w:eastAsia="zh-CN"/>
        </w:rPr>
      </w:pPr>
    </w:p>
    <w:p w14:paraId="39020301" w14:textId="3A439201" w:rsidR="00E5058D" w:rsidRPr="00E5058D" w:rsidRDefault="00E5058D" w:rsidP="00E5058D">
      <w:pPr>
        <w:rPr>
          <w:u w:val="single"/>
          <w:lang w:val="en-GB" w:eastAsia="zh-CN"/>
        </w:rPr>
      </w:pPr>
      <w:r w:rsidRPr="00E5058D">
        <w:rPr>
          <w:u w:val="single"/>
          <w:lang w:val="en-GB" w:eastAsia="zh-CN"/>
        </w:rPr>
        <w:t>Forwarding of SN-associated QoE reports received via SRB4</w:t>
      </w:r>
    </w:p>
    <w:p w14:paraId="28B4A86C" w14:textId="77777777" w:rsidR="00B35CCC" w:rsidRPr="00D216CF" w:rsidRDefault="00B35CCC" w:rsidP="00B35CCC">
      <w:pPr>
        <w:rPr>
          <w:b/>
          <w:lang w:eastAsia="zh-CN"/>
        </w:rPr>
      </w:pPr>
      <w:r w:rsidRPr="00D216CF">
        <w:rPr>
          <w:rFonts w:hint="eastAsia"/>
          <w:b/>
          <w:lang w:eastAsia="zh-CN"/>
        </w:rPr>
        <w:lastRenderedPageBreak/>
        <w:t>O</w:t>
      </w:r>
      <w:r w:rsidRPr="00D216CF">
        <w:rPr>
          <w:b/>
          <w:lang w:eastAsia="zh-CN"/>
        </w:rPr>
        <w:t xml:space="preserve">bservation </w:t>
      </w:r>
      <w:r>
        <w:rPr>
          <w:b/>
          <w:lang w:eastAsia="zh-CN"/>
        </w:rPr>
        <w:t>1</w:t>
      </w:r>
      <w:r w:rsidRPr="00D216CF">
        <w:rPr>
          <w:b/>
          <w:lang w:eastAsia="zh-CN"/>
        </w:rPr>
        <w:t xml:space="preserve">: </w:t>
      </w:r>
      <w:r>
        <w:rPr>
          <w:b/>
          <w:lang w:eastAsia="zh-CN"/>
        </w:rPr>
        <w:t>RAN3 has m</w:t>
      </w:r>
      <w:r w:rsidRPr="00D216CF">
        <w:rPr>
          <w:b/>
          <w:lang w:eastAsia="zh-CN"/>
        </w:rPr>
        <w:t xml:space="preserve">ade some progress regarding </w:t>
      </w:r>
      <w:r>
        <w:rPr>
          <w:b/>
        </w:rPr>
        <w:t>h</w:t>
      </w:r>
      <w:r w:rsidRPr="00D216CF">
        <w:rPr>
          <w:b/>
        </w:rPr>
        <w:t>ow MN forwards SN-associated QoE reports received via SRB4</w:t>
      </w:r>
      <w:r>
        <w:rPr>
          <w:b/>
          <w:lang w:eastAsia="zh-CN"/>
        </w:rPr>
        <w:t>, and RAN2 can rely on RAN3 on solving the issue.</w:t>
      </w:r>
    </w:p>
    <w:p w14:paraId="35ADF67A" w14:textId="77777777" w:rsidR="00B35CCC" w:rsidRPr="00FD49C2" w:rsidRDefault="00B35CCC" w:rsidP="00B35CCC">
      <w:pPr>
        <w:rPr>
          <w:b/>
          <w:lang w:val="en-GB" w:eastAsia="zh-CN"/>
        </w:rPr>
      </w:pPr>
      <w:r w:rsidRPr="00FD49C2">
        <w:rPr>
          <w:rFonts w:hint="eastAsia"/>
          <w:b/>
          <w:lang w:val="en-GB" w:eastAsia="zh-CN"/>
        </w:rPr>
        <w:t>O</w:t>
      </w:r>
      <w:r w:rsidRPr="00FD49C2">
        <w:rPr>
          <w:b/>
          <w:lang w:val="en-GB" w:eastAsia="zh-CN"/>
        </w:rPr>
        <w:t>bservation 2: MN knows whether the measurement report needs to be forwarded to SN based on MN-SN coordination and by knowing the measConfigAppLayerId of the report.</w:t>
      </w:r>
    </w:p>
    <w:p w14:paraId="6DD5657B" w14:textId="77777777" w:rsidR="00B35CCC" w:rsidRPr="00FD49C2" w:rsidRDefault="00B35CCC" w:rsidP="00B35CCC">
      <w:pPr>
        <w:rPr>
          <w:b/>
          <w:lang w:val="en-GB" w:eastAsia="zh-CN"/>
        </w:rPr>
      </w:pPr>
      <w:r w:rsidRPr="00FD49C2">
        <w:rPr>
          <w:rFonts w:hint="eastAsia"/>
          <w:b/>
          <w:lang w:val="en-GB" w:eastAsia="zh-CN"/>
        </w:rPr>
        <w:t>O</w:t>
      </w:r>
      <w:r w:rsidRPr="00FD49C2">
        <w:rPr>
          <w:b/>
          <w:lang w:val="en-GB" w:eastAsia="zh-CN"/>
        </w:rPr>
        <w:t>bservation 3: Using MN ULInformationTransferMRDC message for sending the SN MeasurementReportAppLayer may increase the delay and signaling overhead of RVQoE transfer.</w:t>
      </w:r>
    </w:p>
    <w:p w14:paraId="2EA3249C" w14:textId="77777777" w:rsidR="00B35CCC" w:rsidRPr="00196961" w:rsidRDefault="00B35CCC" w:rsidP="00B35CCC">
      <w:pPr>
        <w:rPr>
          <w:b/>
          <w:lang w:eastAsia="zh-CN"/>
        </w:rPr>
      </w:pPr>
      <w:r w:rsidRPr="00196961">
        <w:rPr>
          <w:b/>
          <w:lang w:eastAsia="zh-CN"/>
        </w:rPr>
        <w:t>Observation 4</w:t>
      </w:r>
      <w:r>
        <w:rPr>
          <w:b/>
          <w:lang w:eastAsia="zh-CN"/>
        </w:rPr>
        <w:t xml:space="preserve">: Based on the current RAN3 agreements, RAN2 needs to support reporting of QoE reports associated with QoE configurations configured by the SN via at least </w:t>
      </w:r>
      <w:r w:rsidRPr="00FD49C2">
        <w:rPr>
          <w:b/>
          <w:lang w:val="en-GB" w:eastAsia="zh-CN"/>
        </w:rPr>
        <w:t>MeasurementReportAppLayer</w:t>
      </w:r>
      <w:r>
        <w:rPr>
          <w:b/>
          <w:lang w:eastAsia="zh-CN"/>
        </w:rPr>
        <w:t xml:space="preserve"> message over SRB4 to support the case where these reports are forwarded to MCE directly by the MN.</w:t>
      </w:r>
    </w:p>
    <w:p w14:paraId="43C03124" w14:textId="309E05CC" w:rsidR="00B35CCC" w:rsidRDefault="00B35CCC" w:rsidP="00B35CCC">
      <w:pPr>
        <w:rPr>
          <w:b/>
          <w:lang w:val="en-GB" w:eastAsia="zh-CN"/>
        </w:rPr>
      </w:pPr>
      <w:r>
        <w:rPr>
          <w:b/>
          <w:lang w:val="en-GB" w:eastAsia="zh-CN"/>
        </w:rPr>
        <w:t xml:space="preserve">Proposal 4: When </w:t>
      </w:r>
      <w:r>
        <w:rPr>
          <w:b/>
          <w:lang w:eastAsia="zh-CN"/>
        </w:rPr>
        <w:t xml:space="preserve">QoE reports associated with QoE configurations configured by the SN are sent over SRB4, they are included in the </w:t>
      </w:r>
      <w:r w:rsidRPr="00FD49C2">
        <w:rPr>
          <w:b/>
          <w:lang w:val="en-GB" w:eastAsia="zh-CN"/>
        </w:rPr>
        <w:t>MeasurementReportAppLayer</w:t>
      </w:r>
      <w:r>
        <w:rPr>
          <w:b/>
          <w:lang w:eastAsia="zh-CN"/>
        </w:rPr>
        <w:t xml:space="preserve"> message</w:t>
      </w:r>
      <w:r w:rsidRPr="00450EC3">
        <w:rPr>
          <w:b/>
          <w:lang w:val="en-GB" w:eastAsia="zh-CN"/>
        </w:rPr>
        <w:t>.</w:t>
      </w:r>
    </w:p>
    <w:p w14:paraId="39512D97" w14:textId="7A4EC275" w:rsidR="00E5058D" w:rsidRDefault="00E5058D" w:rsidP="00B35CCC">
      <w:pPr>
        <w:rPr>
          <w:b/>
          <w:lang w:val="en-GB" w:eastAsia="zh-CN"/>
        </w:rPr>
      </w:pPr>
    </w:p>
    <w:p w14:paraId="2C405F71" w14:textId="77777777" w:rsidR="00E5058D" w:rsidRPr="00E5058D" w:rsidRDefault="00E5058D" w:rsidP="00E5058D">
      <w:pPr>
        <w:rPr>
          <w:u w:val="single"/>
          <w:lang w:val="en-GB" w:eastAsia="zh-CN"/>
        </w:rPr>
      </w:pPr>
      <w:r w:rsidRPr="00E5058D">
        <w:rPr>
          <w:u w:val="single"/>
          <w:lang w:val="en-GB" w:eastAsia="zh-CN"/>
        </w:rPr>
        <w:t>Pause of QoE measurement</w:t>
      </w:r>
    </w:p>
    <w:p w14:paraId="3F29FBF5" w14:textId="77777777" w:rsidR="00B35CCC" w:rsidRPr="005F483A" w:rsidRDefault="00B35CCC" w:rsidP="00B35CCC">
      <w:pPr>
        <w:rPr>
          <w:b/>
          <w:lang w:val="en-GB" w:eastAsia="zh-CN"/>
        </w:rPr>
      </w:pPr>
      <w:r>
        <w:rPr>
          <w:b/>
          <w:lang w:val="en-GB" w:eastAsia="zh-CN"/>
        </w:rPr>
        <w:t>Observation 4: T</w:t>
      </w:r>
      <w:r w:rsidRPr="005F483A">
        <w:rPr>
          <w:b/>
          <w:lang w:val="en-GB" w:eastAsia="zh-CN"/>
        </w:rPr>
        <w:t xml:space="preserve">here is already a possibility for RAN to change the reporting leg of the QoE configuration and it is unclear why </w:t>
      </w:r>
      <w:r>
        <w:rPr>
          <w:b/>
          <w:lang w:val="en-GB" w:eastAsia="zh-CN"/>
        </w:rPr>
        <w:t>pause indication should be used for that.</w:t>
      </w:r>
    </w:p>
    <w:p w14:paraId="48B3C397" w14:textId="77777777" w:rsidR="00B35CCC" w:rsidRDefault="00B35CCC" w:rsidP="00B35CCC">
      <w:pPr>
        <w:rPr>
          <w:b/>
          <w:lang w:val="en-GB" w:eastAsia="zh-CN"/>
        </w:rPr>
      </w:pPr>
      <w:r>
        <w:rPr>
          <w:b/>
          <w:lang w:val="en-GB" w:eastAsia="zh-CN"/>
        </w:rPr>
        <w:t xml:space="preserve">Proposal 5: </w:t>
      </w:r>
      <w:r>
        <w:rPr>
          <w:rFonts w:hint="eastAsia"/>
          <w:b/>
          <w:lang w:val="en-GB" w:eastAsia="zh-CN"/>
        </w:rPr>
        <w:t>Rel-1</w:t>
      </w:r>
      <w:r>
        <w:rPr>
          <w:b/>
          <w:lang w:val="en-GB" w:eastAsia="zh-CN"/>
        </w:rPr>
        <w:t xml:space="preserve">7 defined pause/resume mechanism </w:t>
      </w:r>
      <w:r w:rsidRPr="004D683A">
        <w:rPr>
          <w:b/>
          <w:lang w:val="en-GB" w:eastAsia="zh-CN"/>
        </w:rPr>
        <w:t>is kept</w:t>
      </w:r>
      <w:r>
        <w:rPr>
          <w:b/>
          <w:lang w:val="en-GB" w:eastAsia="zh-CN"/>
        </w:rPr>
        <w:t xml:space="preserve"> for NR-DC case</w:t>
      </w:r>
      <w:r w:rsidRPr="004D683A">
        <w:rPr>
          <w:b/>
          <w:lang w:val="en-GB" w:eastAsia="zh-CN"/>
        </w:rPr>
        <w:t xml:space="preserve">, i.e. </w:t>
      </w:r>
      <w:r>
        <w:rPr>
          <w:b/>
          <w:lang w:val="en-GB" w:eastAsia="zh-CN"/>
        </w:rPr>
        <w:t xml:space="preserve">when the UE receives </w:t>
      </w:r>
      <w:r w:rsidRPr="00FD49C2">
        <w:rPr>
          <w:b/>
          <w:lang w:val="en-GB" w:eastAsia="zh-CN"/>
        </w:rPr>
        <w:t xml:space="preserve">pause </w:t>
      </w:r>
      <w:r>
        <w:rPr>
          <w:b/>
          <w:lang w:val="en-GB" w:eastAsia="zh-CN"/>
        </w:rPr>
        <w:t>indication, the UE suspends sending of the reports associated with the concerned QoE configuration</w:t>
      </w:r>
      <w:r w:rsidRPr="004D683A">
        <w:rPr>
          <w:b/>
          <w:lang w:val="en-GB" w:eastAsia="zh-CN"/>
        </w:rPr>
        <w:t>.</w:t>
      </w:r>
      <w:bookmarkEnd w:id="3"/>
    </w:p>
    <w:sectPr w:rsidR="00B35CCC">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C2230" w14:textId="77777777" w:rsidR="00553959" w:rsidRDefault="00553959">
      <w:pPr>
        <w:spacing w:after="0" w:line="240" w:lineRule="auto"/>
      </w:pPr>
      <w:r>
        <w:separator/>
      </w:r>
    </w:p>
  </w:endnote>
  <w:endnote w:type="continuationSeparator" w:id="0">
    <w:p w14:paraId="61BED05D" w14:textId="77777777" w:rsidR="00553959" w:rsidRDefault="00553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337222" w:rsidRDefault="00337222">
    <w:pPr>
      <w:pStyle w:val="Footer"/>
      <w:jc w:val="center"/>
    </w:pPr>
    <w:r>
      <w:fldChar w:fldCharType="begin"/>
    </w:r>
    <w:r>
      <w:instrText xml:space="preserve"> PAGE   \* MERGEFORMAT </w:instrText>
    </w:r>
    <w:r>
      <w:fldChar w:fldCharType="separate"/>
    </w:r>
    <w:r w:rsidR="00D35954">
      <w:rPr>
        <w:noProof/>
      </w:rPr>
      <w:t>3</w:t>
    </w:r>
    <w:r>
      <w:fldChar w:fldCharType="end"/>
    </w:r>
  </w:p>
  <w:p w14:paraId="0A4951EB" w14:textId="77777777" w:rsidR="00337222" w:rsidRDefault="003372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AA162" w14:textId="77777777" w:rsidR="00553959" w:rsidRDefault="00553959">
      <w:pPr>
        <w:spacing w:after="0" w:line="240" w:lineRule="auto"/>
      </w:pPr>
      <w:r>
        <w:separator/>
      </w:r>
    </w:p>
  </w:footnote>
  <w:footnote w:type="continuationSeparator" w:id="0">
    <w:p w14:paraId="6412EFC1" w14:textId="77777777" w:rsidR="00553959" w:rsidRDefault="005539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4B54"/>
    <w:multiLevelType w:val="hybridMultilevel"/>
    <w:tmpl w:val="459840B8"/>
    <w:lvl w:ilvl="0" w:tplc="EC2CD5A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07EA2"/>
    <w:multiLevelType w:val="hybridMultilevel"/>
    <w:tmpl w:val="B85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3341F"/>
    <w:multiLevelType w:val="hybridMultilevel"/>
    <w:tmpl w:val="7F4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33B8B"/>
    <w:multiLevelType w:val="hybridMultilevel"/>
    <w:tmpl w:val="258A6540"/>
    <w:lvl w:ilvl="0" w:tplc="E1C83F0C">
      <w:start w:val="1"/>
      <w:numFmt w:val="bullet"/>
      <w:lvlText w:val="•"/>
      <w:lvlJc w:val="left"/>
      <w:pPr>
        <w:tabs>
          <w:tab w:val="num" w:pos="720"/>
        </w:tabs>
        <w:ind w:left="720" w:hanging="360"/>
      </w:pPr>
      <w:rPr>
        <w:rFonts w:ascii="Arial" w:hAnsi="Arial" w:hint="default"/>
      </w:rPr>
    </w:lvl>
    <w:lvl w:ilvl="1" w:tplc="152A452E" w:tentative="1">
      <w:start w:val="1"/>
      <w:numFmt w:val="bullet"/>
      <w:lvlText w:val="•"/>
      <w:lvlJc w:val="left"/>
      <w:pPr>
        <w:tabs>
          <w:tab w:val="num" w:pos="1440"/>
        </w:tabs>
        <w:ind w:left="1440" w:hanging="360"/>
      </w:pPr>
      <w:rPr>
        <w:rFonts w:ascii="Arial" w:hAnsi="Arial" w:hint="default"/>
      </w:rPr>
    </w:lvl>
    <w:lvl w:ilvl="2" w:tplc="8432E0EA" w:tentative="1">
      <w:start w:val="1"/>
      <w:numFmt w:val="bullet"/>
      <w:lvlText w:val="•"/>
      <w:lvlJc w:val="left"/>
      <w:pPr>
        <w:tabs>
          <w:tab w:val="num" w:pos="2160"/>
        </w:tabs>
        <w:ind w:left="2160" w:hanging="360"/>
      </w:pPr>
      <w:rPr>
        <w:rFonts w:ascii="Arial" w:hAnsi="Arial" w:hint="default"/>
      </w:rPr>
    </w:lvl>
    <w:lvl w:ilvl="3" w:tplc="FF98F144" w:tentative="1">
      <w:start w:val="1"/>
      <w:numFmt w:val="bullet"/>
      <w:lvlText w:val="•"/>
      <w:lvlJc w:val="left"/>
      <w:pPr>
        <w:tabs>
          <w:tab w:val="num" w:pos="2880"/>
        </w:tabs>
        <w:ind w:left="2880" w:hanging="360"/>
      </w:pPr>
      <w:rPr>
        <w:rFonts w:ascii="Arial" w:hAnsi="Arial" w:hint="default"/>
      </w:rPr>
    </w:lvl>
    <w:lvl w:ilvl="4" w:tplc="8708E820" w:tentative="1">
      <w:start w:val="1"/>
      <w:numFmt w:val="bullet"/>
      <w:lvlText w:val="•"/>
      <w:lvlJc w:val="left"/>
      <w:pPr>
        <w:tabs>
          <w:tab w:val="num" w:pos="3600"/>
        </w:tabs>
        <w:ind w:left="3600" w:hanging="360"/>
      </w:pPr>
      <w:rPr>
        <w:rFonts w:ascii="Arial" w:hAnsi="Arial" w:hint="default"/>
      </w:rPr>
    </w:lvl>
    <w:lvl w:ilvl="5" w:tplc="B2C48E70" w:tentative="1">
      <w:start w:val="1"/>
      <w:numFmt w:val="bullet"/>
      <w:lvlText w:val="•"/>
      <w:lvlJc w:val="left"/>
      <w:pPr>
        <w:tabs>
          <w:tab w:val="num" w:pos="4320"/>
        </w:tabs>
        <w:ind w:left="4320" w:hanging="360"/>
      </w:pPr>
      <w:rPr>
        <w:rFonts w:ascii="Arial" w:hAnsi="Arial" w:hint="default"/>
      </w:rPr>
    </w:lvl>
    <w:lvl w:ilvl="6" w:tplc="CA8A8362" w:tentative="1">
      <w:start w:val="1"/>
      <w:numFmt w:val="bullet"/>
      <w:lvlText w:val="•"/>
      <w:lvlJc w:val="left"/>
      <w:pPr>
        <w:tabs>
          <w:tab w:val="num" w:pos="5040"/>
        </w:tabs>
        <w:ind w:left="5040" w:hanging="360"/>
      </w:pPr>
      <w:rPr>
        <w:rFonts w:ascii="Arial" w:hAnsi="Arial" w:hint="default"/>
      </w:rPr>
    </w:lvl>
    <w:lvl w:ilvl="7" w:tplc="CA860C70" w:tentative="1">
      <w:start w:val="1"/>
      <w:numFmt w:val="bullet"/>
      <w:lvlText w:val="•"/>
      <w:lvlJc w:val="left"/>
      <w:pPr>
        <w:tabs>
          <w:tab w:val="num" w:pos="5760"/>
        </w:tabs>
        <w:ind w:left="5760" w:hanging="360"/>
      </w:pPr>
      <w:rPr>
        <w:rFonts w:ascii="Arial" w:hAnsi="Arial" w:hint="default"/>
      </w:rPr>
    </w:lvl>
    <w:lvl w:ilvl="8" w:tplc="69E021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724C7"/>
    <w:multiLevelType w:val="hybridMultilevel"/>
    <w:tmpl w:val="92EE49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0BA64ED"/>
    <w:multiLevelType w:val="hybridMultilevel"/>
    <w:tmpl w:val="23FA9332"/>
    <w:lvl w:ilvl="0" w:tplc="04090001">
      <w:start w:val="1"/>
      <w:numFmt w:val="bullet"/>
      <w:lvlText w:val=""/>
      <w:lvlJc w:val="left"/>
      <w:pPr>
        <w:ind w:left="720" w:hanging="360"/>
      </w:pPr>
      <w:rPr>
        <w:rFonts w:ascii="Symbol" w:hAnsi="Symbol" w:hint="default"/>
      </w:rPr>
    </w:lvl>
    <w:lvl w:ilvl="1" w:tplc="758E5B7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63823"/>
    <w:multiLevelType w:val="hybridMultilevel"/>
    <w:tmpl w:val="046265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2684C7E"/>
    <w:multiLevelType w:val="hybridMultilevel"/>
    <w:tmpl w:val="72A81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157FC"/>
    <w:multiLevelType w:val="hybridMultilevel"/>
    <w:tmpl w:val="4836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3C3634"/>
    <w:multiLevelType w:val="multilevel"/>
    <w:tmpl w:val="6BB8F0A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rPr>
        <w:rFont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EC57A2"/>
    <w:multiLevelType w:val="hybridMultilevel"/>
    <w:tmpl w:val="572C9B4A"/>
    <w:lvl w:ilvl="0" w:tplc="F1665E46">
      <w:start w:val="1"/>
      <w:numFmt w:val="bullet"/>
      <w:lvlText w:val=""/>
      <w:lvlJc w:val="left"/>
      <w:pPr>
        <w:tabs>
          <w:tab w:val="num" w:pos="720"/>
        </w:tabs>
        <w:ind w:left="720" w:hanging="360"/>
      </w:pPr>
      <w:rPr>
        <w:rFonts w:ascii="Wingdings" w:hAnsi="Wingdings" w:hint="default"/>
      </w:rPr>
    </w:lvl>
    <w:lvl w:ilvl="1" w:tplc="3642021E">
      <w:start w:val="1"/>
      <w:numFmt w:val="bullet"/>
      <w:lvlText w:val=""/>
      <w:lvlJc w:val="left"/>
      <w:pPr>
        <w:tabs>
          <w:tab w:val="num" w:pos="1440"/>
        </w:tabs>
        <w:ind w:left="1440" w:hanging="360"/>
      </w:pPr>
      <w:rPr>
        <w:rFonts w:ascii="Wingdings" w:hAnsi="Wingdings" w:hint="default"/>
      </w:rPr>
    </w:lvl>
    <w:lvl w:ilvl="2" w:tplc="9DB4A628" w:tentative="1">
      <w:start w:val="1"/>
      <w:numFmt w:val="bullet"/>
      <w:lvlText w:val=""/>
      <w:lvlJc w:val="left"/>
      <w:pPr>
        <w:tabs>
          <w:tab w:val="num" w:pos="2160"/>
        </w:tabs>
        <w:ind w:left="2160" w:hanging="360"/>
      </w:pPr>
      <w:rPr>
        <w:rFonts w:ascii="Wingdings" w:hAnsi="Wingdings" w:hint="default"/>
      </w:rPr>
    </w:lvl>
    <w:lvl w:ilvl="3" w:tplc="EDB6FB0E" w:tentative="1">
      <w:start w:val="1"/>
      <w:numFmt w:val="bullet"/>
      <w:lvlText w:val=""/>
      <w:lvlJc w:val="left"/>
      <w:pPr>
        <w:tabs>
          <w:tab w:val="num" w:pos="2880"/>
        </w:tabs>
        <w:ind w:left="2880" w:hanging="360"/>
      </w:pPr>
      <w:rPr>
        <w:rFonts w:ascii="Wingdings" w:hAnsi="Wingdings" w:hint="default"/>
      </w:rPr>
    </w:lvl>
    <w:lvl w:ilvl="4" w:tplc="0100ABC2" w:tentative="1">
      <w:start w:val="1"/>
      <w:numFmt w:val="bullet"/>
      <w:lvlText w:val=""/>
      <w:lvlJc w:val="left"/>
      <w:pPr>
        <w:tabs>
          <w:tab w:val="num" w:pos="3600"/>
        </w:tabs>
        <w:ind w:left="3600" w:hanging="360"/>
      </w:pPr>
      <w:rPr>
        <w:rFonts w:ascii="Wingdings" w:hAnsi="Wingdings" w:hint="default"/>
      </w:rPr>
    </w:lvl>
    <w:lvl w:ilvl="5" w:tplc="DA188A90" w:tentative="1">
      <w:start w:val="1"/>
      <w:numFmt w:val="bullet"/>
      <w:lvlText w:val=""/>
      <w:lvlJc w:val="left"/>
      <w:pPr>
        <w:tabs>
          <w:tab w:val="num" w:pos="4320"/>
        </w:tabs>
        <w:ind w:left="4320" w:hanging="360"/>
      </w:pPr>
      <w:rPr>
        <w:rFonts w:ascii="Wingdings" w:hAnsi="Wingdings" w:hint="default"/>
      </w:rPr>
    </w:lvl>
    <w:lvl w:ilvl="6" w:tplc="16341416" w:tentative="1">
      <w:start w:val="1"/>
      <w:numFmt w:val="bullet"/>
      <w:lvlText w:val=""/>
      <w:lvlJc w:val="left"/>
      <w:pPr>
        <w:tabs>
          <w:tab w:val="num" w:pos="5040"/>
        </w:tabs>
        <w:ind w:left="5040" w:hanging="360"/>
      </w:pPr>
      <w:rPr>
        <w:rFonts w:ascii="Wingdings" w:hAnsi="Wingdings" w:hint="default"/>
      </w:rPr>
    </w:lvl>
    <w:lvl w:ilvl="7" w:tplc="DC4A899E" w:tentative="1">
      <w:start w:val="1"/>
      <w:numFmt w:val="bullet"/>
      <w:lvlText w:val=""/>
      <w:lvlJc w:val="left"/>
      <w:pPr>
        <w:tabs>
          <w:tab w:val="num" w:pos="5760"/>
        </w:tabs>
        <w:ind w:left="5760" w:hanging="360"/>
      </w:pPr>
      <w:rPr>
        <w:rFonts w:ascii="Wingdings" w:hAnsi="Wingdings" w:hint="default"/>
      </w:rPr>
    </w:lvl>
    <w:lvl w:ilvl="8" w:tplc="1B4814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570588B"/>
    <w:multiLevelType w:val="hybridMultilevel"/>
    <w:tmpl w:val="A9C6B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A34518"/>
    <w:multiLevelType w:val="hybridMultilevel"/>
    <w:tmpl w:val="3EEC4038"/>
    <w:lvl w:ilvl="0" w:tplc="363AAA3C">
      <w:start w:val="1"/>
      <w:numFmt w:val="decim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20" w15:restartNumberingAfterBreak="0">
    <w:nsid w:val="3A1E4319"/>
    <w:multiLevelType w:val="hybridMultilevel"/>
    <w:tmpl w:val="5DACF392"/>
    <w:lvl w:ilvl="0" w:tplc="488A4640">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3473E1"/>
    <w:multiLevelType w:val="hybridMultilevel"/>
    <w:tmpl w:val="A7BC44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857033"/>
    <w:multiLevelType w:val="hybridMultilevel"/>
    <w:tmpl w:val="383A9BB0"/>
    <w:lvl w:ilvl="0" w:tplc="B9C08D10">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4"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F6D4CF6"/>
    <w:multiLevelType w:val="hybridMultilevel"/>
    <w:tmpl w:val="7D6E815A"/>
    <w:lvl w:ilvl="0" w:tplc="BE8CB20A">
      <w:start w:val="1"/>
      <w:numFmt w:val="bullet"/>
      <w:lvlText w:val="•"/>
      <w:lvlJc w:val="left"/>
      <w:pPr>
        <w:tabs>
          <w:tab w:val="num" w:pos="720"/>
        </w:tabs>
        <w:ind w:left="720" w:hanging="360"/>
      </w:pPr>
      <w:rPr>
        <w:rFonts w:ascii="Arial" w:hAnsi="Arial" w:hint="default"/>
      </w:rPr>
    </w:lvl>
    <w:lvl w:ilvl="1" w:tplc="DB7A9396" w:tentative="1">
      <w:start w:val="1"/>
      <w:numFmt w:val="bullet"/>
      <w:lvlText w:val="•"/>
      <w:lvlJc w:val="left"/>
      <w:pPr>
        <w:tabs>
          <w:tab w:val="num" w:pos="1440"/>
        </w:tabs>
        <w:ind w:left="1440" w:hanging="360"/>
      </w:pPr>
      <w:rPr>
        <w:rFonts w:ascii="Arial" w:hAnsi="Arial" w:hint="default"/>
      </w:rPr>
    </w:lvl>
    <w:lvl w:ilvl="2" w:tplc="854ACE26" w:tentative="1">
      <w:start w:val="1"/>
      <w:numFmt w:val="bullet"/>
      <w:lvlText w:val="•"/>
      <w:lvlJc w:val="left"/>
      <w:pPr>
        <w:tabs>
          <w:tab w:val="num" w:pos="2160"/>
        </w:tabs>
        <w:ind w:left="2160" w:hanging="360"/>
      </w:pPr>
      <w:rPr>
        <w:rFonts w:ascii="Arial" w:hAnsi="Arial" w:hint="default"/>
      </w:rPr>
    </w:lvl>
    <w:lvl w:ilvl="3" w:tplc="23DE6626" w:tentative="1">
      <w:start w:val="1"/>
      <w:numFmt w:val="bullet"/>
      <w:lvlText w:val="•"/>
      <w:lvlJc w:val="left"/>
      <w:pPr>
        <w:tabs>
          <w:tab w:val="num" w:pos="2880"/>
        </w:tabs>
        <w:ind w:left="2880" w:hanging="360"/>
      </w:pPr>
      <w:rPr>
        <w:rFonts w:ascii="Arial" w:hAnsi="Arial" w:hint="default"/>
      </w:rPr>
    </w:lvl>
    <w:lvl w:ilvl="4" w:tplc="2D14DAC8" w:tentative="1">
      <w:start w:val="1"/>
      <w:numFmt w:val="bullet"/>
      <w:lvlText w:val="•"/>
      <w:lvlJc w:val="left"/>
      <w:pPr>
        <w:tabs>
          <w:tab w:val="num" w:pos="3600"/>
        </w:tabs>
        <w:ind w:left="3600" w:hanging="360"/>
      </w:pPr>
      <w:rPr>
        <w:rFonts w:ascii="Arial" w:hAnsi="Arial" w:hint="default"/>
      </w:rPr>
    </w:lvl>
    <w:lvl w:ilvl="5" w:tplc="A6F2FD9C" w:tentative="1">
      <w:start w:val="1"/>
      <w:numFmt w:val="bullet"/>
      <w:lvlText w:val="•"/>
      <w:lvlJc w:val="left"/>
      <w:pPr>
        <w:tabs>
          <w:tab w:val="num" w:pos="4320"/>
        </w:tabs>
        <w:ind w:left="4320" w:hanging="360"/>
      </w:pPr>
      <w:rPr>
        <w:rFonts w:ascii="Arial" w:hAnsi="Arial" w:hint="default"/>
      </w:rPr>
    </w:lvl>
    <w:lvl w:ilvl="6" w:tplc="0B0E6D02" w:tentative="1">
      <w:start w:val="1"/>
      <w:numFmt w:val="bullet"/>
      <w:lvlText w:val="•"/>
      <w:lvlJc w:val="left"/>
      <w:pPr>
        <w:tabs>
          <w:tab w:val="num" w:pos="5040"/>
        </w:tabs>
        <w:ind w:left="5040" w:hanging="360"/>
      </w:pPr>
      <w:rPr>
        <w:rFonts w:ascii="Arial" w:hAnsi="Arial" w:hint="default"/>
      </w:rPr>
    </w:lvl>
    <w:lvl w:ilvl="7" w:tplc="555C41BA" w:tentative="1">
      <w:start w:val="1"/>
      <w:numFmt w:val="bullet"/>
      <w:lvlText w:val="•"/>
      <w:lvlJc w:val="left"/>
      <w:pPr>
        <w:tabs>
          <w:tab w:val="num" w:pos="5760"/>
        </w:tabs>
        <w:ind w:left="5760" w:hanging="360"/>
      </w:pPr>
      <w:rPr>
        <w:rFonts w:ascii="Arial" w:hAnsi="Arial" w:hint="default"/>
      </w:rPr>
    </w:lvl>
    <w:lvl w:ilvl="8" w:tplc="F1B411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862780A"/>
    <w:multiLevelType w:val="hybridMultilevel"/>
    <w:tmpl w:val="A7BC442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9171868"/>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34"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9034E8"/>
    <w:multiLevelType w:val="hybridMultilevel"/>
    <w:tmpl w:val="412CBBBA"/>
    <w:lvl w:ilvl="0" w:tplc="C5106E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33491"/>
    <w:multiLevelType w:val="multilevel"/>
    <w:tmpl w:val="938CCFCC"/>
    <w:lvl w:ilvl="0">
      <w:start w:val="1"/>
      <w:numFmt w:val="decimal"/>
      <w:lvlText w:val="Proposal %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E5A4E91"/>
    <w:multiLevelType w:val="hybridMultilevel"/>
    <w:tmpl w:val="D9DA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40" w15:restartNumberingAfterBreak="0">
    <w:nsid w:val="75017508"/>
    <w:multiLevelType w:val="hybridMultilevel"/>
    <w:tmpl w:val="2752F038"/>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1"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8250147"/>
    <w:multiLevelType w:val="hybridMultilevel"/>
    <w:tmpl w:val="6F58E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576BD"/>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5" w15:restartNumberingAfterBreak="0">
    <w:nsid w:val="7EFA1C4E"/>
    <w:multiLevelType w:val="hybridMultilevel"/>
    <w:tmpl w:val="E7509FD6"/>
    <w:lvl w:ilvl="0" w:tplc="987431A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9"/>
  </w:num>
  <w:num w:numId="3">
    <w:abstractNumId w:val="10"/>
  </w:num>
  <w:num w:numId="4">
    <w:abstractNumId w:val="11"/>
  </w:num>
  <w:num w:numId="5">
    <w:abstractNumId w:val="44"/>
  </w:num>
  <w:num w:numId="6">
    <w:abstractNumId w:val="25"/>
  </w:num>
  <w:num w:numId="7">
    <w:abstractNumId w:val="23"/>
  </w:num>
  <w:num w:numId="8">
    <w:abstractNumId w:val="39"/>
  </w:num>
  <w:num w:numId="9">
    <w:abstractNumId w:val="28"/>
  </w:num>
  <w:num w:numId="10">
    <w:abstractNumId w:val="13"/>
  </w:num>
  <w:num w:numId="11">
    <w:abstractNumId w:val="41"/>
  </w:num>
  <w:num w:numId="12">
    <w:abstractNumId w:val="5"/>
  </w:num>
  <w:num w:numId="13">
    <w:abstractNumId w:val="24"/>
  </w:num>
  <w:num w:numId="14">
    <w:abstractNumId w:val="37"/>
  </w:num>
  <w:num w:numId="15">
    <w:abstractNumId w:val="27"/>
  </w:num>
  <w:num w:numId="16">
    <w:abstractNumId w:val="30"/>
  </w:num>
  <w:num w:numId="17">
    <w:abstractNumId w:val="33"/>
  </w:num>
  <w:num w:numId="18">
    <w:abstractNumId w:val="34"/>
  </w:num>
  <w:num w:numId="19">
    <w:abstractNumId w:val="18"/>
  </w:num>
  <w:num w:numId="20">
    <w:abstractNumId w:val="15"/>
  </w:num>
  <w:num w:numId="21">
    <w:abstractNumId w:val="6"/>
  </w:num>
  <w:num w:numId="22">
    <w:abstractNumId w:val="42"/>
  </w:num>
  <w:num w:numId="23">
    <w:abstractNumId w:val="12"/>
  </w:num>
  <w:num w:numId="24">
    <w:abstractNumId w:val="32"/>
  </w:num>
  <w:num w:numId="25">
    <w:abstractNumId w:val="45"/>
  </w:num>
  <w:num w:numId="26">
    <w:abstractNumId w:val="4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1"/>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1"/>
  </w:num>
  <w:num w:numId="33">
    <w:abstractNumId w:val="2"/>
  </w:num>
  <w:num w:numId="34">
    <w:abstractNumId w:val="1"/>
  </w:num>
  <w:num w:numId="35">
    <w:abstractNumId w:val="9"/>
  </w:num>
  <w:num w:numId="36">
    <w:abstractNumId w:val="35"/>
  </w:num>
  <w:num w:numId="37">
    <w:abstractNumId w:val="3"/>
  </w:num>
  <w:num w:numId="38">
    <w:abstractNumId w:val="26"/>
  </w:num>
  <w:num w:numId="39">
    <w:abstractNumId w:val="14"/>
  </w:num>
  <w:num w:numId="40">
    <w:abstractNumId w:val="20"/>
  </w:num>
  <w:num w:numId="41">
    <w:abstractNumId w:val="0"/>
  </w:num>
  <w:num w:numId="42">
    <w:abstractNumId w:val="8"/>
  </w:num>
  <w:num w:numId="43">
    <w:abstractNumId w:val="36"/>
  </w:num>
  <w:num w:numId="44">
    <w:abstractNumId w:val="38"/>
  </w:num>
  <w:num w:numId="45">
    <w:abstractNumId w:val="17"/>
  </w:num>
  <w:num w:numId="46">
    <w:abstractNumId w:val="19"/>
  </w:num>
  <w:num w:numId="47">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DE4"/>
    <w:rsid w:val="00012E25"/>
    <w:rsid w:val="00012E73"/>
    <w:rsid w:val="00013FAB"/>
    <w:rsid w:val="000142A3"/>
    <w:rsid w:val="000143B2"/>
    <w:rsid w:val="00015532"/>
    <w:rsid w:val="00015718"/>
    <w:rsid w:val="000158DD"/>
    <w:rsid w:val="000168E4"/>
    <w:rsid w:val="00016AD4"/>
    <w:rsid w:val="0001707C"/>
    <w:rsid w:val="0001748B"/>
    <w:rsid w:val="00017F0D"/>
    <w:rsid w:val="0002017B"/>
    <w:rsid w:val="0002031F"/>
    <w:rsid w:val="000203BF"/>
    <w:rsid w:val="00021603"/>
    <w:rsid w:val="00021763"/>
    <w:rsid w:val="000219E8"/>
    <w:rsid w:val="00021B29"/>
    <w:rsid w:val="00022105"/>
    <w:rsid w:val="00022F96"/>
    <w:rsid w:val="00023A7A"/>
    <w:rsid w:val="00023B32"/>
    <w:rsid w:val="00024911"/>
    <w:rsid w:val="00025743"/>
    <w:rsid w:val="000265F6"/>
    <w:rsid w:val="0002662C"/>
    <w:rsid w:val="00026A37"/>
    <w:rsid w:val="00027290"/>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57E8"/>
    <w:rsid w:val="00045F01"/>
    <w:rsid w:val="00046226"/>
    <w:rsid w:val="0004667E"/>
    <w:rsid w:val="00047403"/>
    <w:rsid w:val="0004752B"/>
    <w:rsid w:val="00050EE6"/>
    <w:rsid w:val="00051053"/>
    <w:rsid w:val="000516A4"/>
    <w:rsid w:val="00051D7F"/>
    <w:rsid w:val="00051F58"/>
    <w:rsid w:val="000524D1"/>
    <w:rsid w:val="000527DF"/>
    <w:rsid w:val="00052CA9"/>
    <w:rsid w:val="00052CDC"/>
    <w:rsid w:val="000533B6"/>
    <w:rsid w:val="00053C4A"/>
    <w:rsid w:val="00053CB5"/>
    <w:rsid w:val="00054078"/>
    <w:rsid w:val="000544B9"/>
    <w:rsid w:val="00054B86"/>
    <w:rsid w:val="00055786"/>
    <w:rsid w:val="00055D46"/>
    <w:rsid w:val="00057C27"/>
    <w:rsid w:val="00060253"/>
    <w:rsid w:val="00061289"/>
    <w:rsid w:val="0006188F"/>
    <w:rsid w:val="00061A41"/>
    <w:rsid w:val="00061F61"/>
    <w:rsid w:val="00062093"/>
    <w:rsid w:val="000627D9"/>
    <w:rsid w:val="00062D14"/>
    <w:rsid w:val="000635DD"/>
    <w:rsid w:val="0006385A"/>
    <w:rsid w:val="00063996"/>
    <w:rsid w:val="00063BBE"/>
    <w:rsid w:val="00063D9D"/>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A79C6"/>
    <w:rsid w:val="000B01D8"/>
    <w:rsid w:val="000B08E4"/>
    <w:rsid w:val="000B1BB7"/>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6BFA"/>
    <w:rsid w:val="000C731B"/>
    <w:rsid w:val="000C76EE"/>
    <w:rsid w:val="000C7989"/>
    <w:rsid w:val="000C7D11"/>
    <w:rsid w:val="000D0318"/>
    <w:rsid w:val="000D06B8"/>
    <w:rsid w:val="000D08C1"/>
    <w:rsid w:val="000D0F7B"/>
    <w:rsid w:val="000D1602"/>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100"/>
    <w:rsid w:val="00106458"/>
    <w:rsid w:val="001069F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3AD"/>
    <w:rsid w:val="001178D0"/>
    <w:rsid w:val="00117AD4"/>
    <w:rsid w:val="00117D49"/>
    <w:rsid w:val="00120321"/>
    <w:rsid w:val="0012038E"/>
    <w:rsid w:val="00120527"/>
    <w:rsid w:val="00120B28"/>
    <w:rsid w:val="00120CC2"/>
    <w:rsid w:val="0012106E"/>
    <w:rsid w:val="001221A2"/>
    <w:rsid w:val="001227F5"/>
    <w:rsid w:val="00122C8A"/>
    <w:rsid w:val="00122E95"/>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71A"/>
    <w:rsid w:val="00140974"/>
    <w:rsid w:val="00140E5A"/>
    <w:rsid w:val="0014138B"/>
    <w:rsid w:val="00141C7C"/>
    <w:rsid w:val="00141DE9"/>
    <w:rsid w:val="00142ED8"/>
    <w:rsid w:val="00143240"/>
    <w:rsid w:val="001441EE"/>
    <w:rsid w:val="00144313"/>
    <w:rsid w:val="001451B2"/>
    <w:rsid w:val="001456F1"/>
    <w:rsid w:val="001458F1"/>
    <w:rsid w:val="00145B50"/>
    <w:rsid w:val="00145BEF"/>
    <w:rsid w:val="00145FDE"/>
    <w:rsid w:val="00146236"/>
    <w:rsid w:val="00146F0B"/>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5F4"/>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42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6961"/>
    <w:rsid w:val="00197EE1"/>
    <w:rsid w:val="001A0F4A"/>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220"/>
    <w:rsid w:val="001B3FB9"/>
    <w:rsid w:val="001B42CB"/>
    <w:rsid w:val="001B43EB"/>
    <w:rsid w:val="001B526D"/>
    <w:rsid w:val="001B5356"/>
    <w:rsid w:val="001B5387"/>
    <w:rsid w:val="001B545D"/>
    <w:rsid w:val="001B6328"/>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D42"/>
    <w:rsid w:val="001D4E51"/>
    <w:rsid w:val="001D58FA"/>
    <w:rsid w:val="001D5B4E"/>
    <w:rsid w:val="001D7131"/>
    <w:rsid w:val="001D7A67"/>
    <w:rsid w:val="001E05FD"/>
    <w:rsid w:val="001E0F97"/>
    <w:rsid w:val="001E1056"/>
    <w:rsid w:val="001E1219"/>
    <w:rsid w:val="001E194E"/>
    <w:rsid w:val="001E2586"/>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0B9"/>
    <w:rsid w:val="001F3146"/>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4BDF"/>
    <w:rsid w:val="00205AF0"/>
    <w:rsid w:val="00205C92"/>
    <w:rsid w:val="00205DD5"/>
    <w:rsid w:val="002075FB"/>
    <w:rsid w:val="00207C86"/>
    <w:rsid w:val="002102D9"/>
    <w:rsid w:val="002116B7"/>
    <w:rsid w:val="00211992"/>
    <w:rsid w:val="00213278"/>
    <w:rsid w:val="002144C3"/>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3CBB"/>
    <w:rsid w:val="0022418D"/>
    <w:rsid w:val="0022425F"/>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1BDD"/>
    <w:rsid w:val="00252787"/>
    <w:rsid w:val="0025295F"/>
    <w:rsid w:val="00252B31"/>
    <w:rsid w:val="00252BAC"/>
    <w:rsid w:val="002539E3"/>
    <w:rsid w:val="00253B8C"/>
    <w:rsid w:val="00254016"/>
    <w:rsid w:val="00254BAD"/>
    <w:rsid w:val="002566F8"/>
    <w:rsid w:val="002572F7"/>
    <w:rsid w:val="002576D0"/>
    <w:rsid w:val="00260226"/>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9BB"/>
    <w:rsid w:val="0027322A"/>
    <w:rsid w:val="00274330"/>
    <w:rsid w:val="00274473"/>
    <w:rsid w:val="002752BF"/>
    <w:rsid w:val="0027614C"/>
    <w:rsid w:val="00276319"/>
    <w:rsid w:val="002764BC"/>
    <w:rsid w:val="0027684B"/>
    <w:rsid w:val="002770F3"/>
    <w:rsid w:val="00277278"/>
    <w:rsid w:val="00277671"/>
    <w:rsid w:val="00277DBD"/>
    <w:rsid w:val="002806C8"/>
    <w:rsid w:val="00280ADA"/>
    <w:rsid w:val="00280DA0"/>
    <w:rsid w:val="002812D4"/>
    <w:rsid w:val="002813D2"/>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966B2"/>
    <w:rsid w:val="00297C10"/>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2BA"/>
    <w:rsid w:val="002C335A"/>
    <w:rsid w:val="002C38EF"/>
    <w:rsid w:val="002C40A0"/>
    <w:rsid w:val="002C4349"/>
    <w:rsid w:val="002C48CE"/>
    <w:rsid w:val="002C494C"/>
    <w:rsid w:val="002C5D5A"/>
    <w:rsid w:val="002C661D"/>
    <w:rsid w:val="002C6B38"/>
    <w:rsid w:val="002C7067"/>
    <w:rsid w:val="002C7503"/>
    <w:rsid w:val="002C7716"/>
    <w:rsid w:val="002C7874"/>
    <w:rsid w:val="002D0B99"/>
    <w:rsid w:val="002D0EF5"/>
    <w:rsid w:val="002D21A2"/>
    <w:rsid w:val="002D23BD"/>
    <w:rsid w:val="002D3C51"/>
    <w:rsid w:val="002D451A"/>
    <w:rsid w:val="002D4B26"/>
    <w:rsid w:val="002D5659"/>
    <w:rsid w:val="002D5BA0"/>
    <w:rsid w:val="002D6427"/>
    <w:rsid w:val="002D6E32"/>
    <w:rsid w:val="002E040D"/>
    <w:rsid w:val="002E1EB1"/>
    <w:rsid w:val="002E30EA"/>
    <w:rsid w:val="002E38EA"/>
    <w:rsid w:val="002E3D59"/>
    <w:rsid w:val="002E484D"/>
    <w:rsid w:val="002E4AB8"/>
    <w:rsid w:val="002E4F8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3AA"/>
    <w:rsid w:val="0031666A"/>
    <w:rsid w:val="00317660"/>
    <w:rsid w:val="00317C94"/>
    <w:rsid w:val="00317DD6"/>
    <w:rsid w:val="00320701"/>
    <w:rsid w:val="00320769"/>
    <w:rsid w:val="0032086C"/>
    <w:rsid w:val="00321D48"/>
    <w:rsid w:val="0032253E"/>
    <w:rsid w:val="003226BD"/>
    <w:rsid w:val="00322880"/>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37222"/>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0108"/>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4E0"/>
    <w:rsid w:val="00360B02"/>
    <w:rsid w:val="00362CDA"/>
    <w:rsid w:val="00365484"/>
    <w:rsid w:val="0036565D"/>
    <w:rsid w:val="00365ED5"/>
    <w:rsid w:val="0036630E"/>
    <w:rsid w:val="003666F7"/>
    <w:rsid w:val="00366A3A"/>
    <w:rsid w:val="00367FBB"/>
    <w:rsid w:val="00371B4E"/>
    <w:rsid w:val="00372643"/>
    <w:rsid w:val="00372952"/>
    <w:rsid w:val="00372B10"/>
    <w:rsid w:val="00372EB5"/>
    <w:rsid w:val="00372FFB"/>
    <w:rsid w:val="00373455"/>
    <w:rsid w:val="00373456"/>
    <w:rsid w:val="0037354F"/>
    <w:rsid w:val="00373B48"/>
    <w:rsid w:val="003743C1"/>
    <w:rsid w:val="00375447"/>
    <w:rsid w:val="00375A07"/>
    <w:rsid w:val="00376045"/>
    <w:rsid w:val="00376207"/>
    <w:rsid w:val="00376B81"/>
    <w:rsid w:val="003771A0"/>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B00B8"/>
    <w:rsid w:val="003B0A4E"/>
    <w:rsid w:val="003B0CE4"/>
    <w:rsid w:val="003B23D3"/>
    <w:rsid w:val="003B283E"/>
    <w:rsid w:val="003B2E83"/>
    <w:rsid w:val="003B3B6E"/>
    <w:rsid w:val="003B3BB3"/>
    <w:rsid w:val="003B3E90"/>
    <w:rsid w:val="003B4E90"/>
    <w:rsid w:val="003B6186"/>
    <w:rsid w:val="003B656C"/>
    <w:rsid w:val="003B673F"/>
    <w:rsid w:val="003B678C"/>
    <w:rsid w:val="003B756C"/>
    <w:rsid w:val="003B7599"/>
    <w:rsid w:val="003B75CF"/>
    <w:rsid w:val="003C004F"/>
    <w:rsid w:val="003C0C8A"/>
    <w:rsid w:val="003C0DEB"/>
    <w:rsid w:val="003C1EA1"/>
    <w:rsid w:val="003C2469"/>
    <w:rsid w:val="003C2DCF"/>
    <w:rsid w:val="003C34C4"/>
    <w:rsid w:val="003C365E"/>
    <w:rsid w:val="003C3710"/>
    <w:rsid w:val="003C3DD3"/>
    <w:rsid w:val="003C42D1"/>
    <w:rsid w:val="003C5592"/>
    <w:rsid w:val="003C5702"/>
    <w:rsid w:val="003C5A92"/>
    <w:rsid w:val="003C5CF1"/>
    <w:rsid w:val="003C5DDC"/>
    <w:rsid w:val="003C6535"/>
    <w:rsid w:val="003C693F"/>
    <w:rsid w:val="003C713F"/>
    <w:rsid w:val="003C7834"/>
    <w:rsid w:val="003C78B6"/>
    <w:rsid w:val="003D03B5"/>
    <w:rsid w:val="003D1092"/>
    <w:rsid w:val="003D130F"/>
    <w:rsid w:val="003D18C5"/>
    <w:rsid w:val="003D1C0D"/>
    <w:rsid w:val="003D2AB7"/>
    <w:rsid w:val="003D2BD7"/>
    <w:rsid w:val="003D3148"/>
    <w:rsid w:val="003D33D3"/>
    <w:rsid w:val="003D47AF"/>
    <w:rsid w:val="003D4BD5"/>
    <w:rsid w:val="003D5853"/>
    <w:rsid w:val="003D6894"/>
    <w:rsid w:val="003D71E1"/>
    <w:rsid w:val="003D7930"/>
    <w:rsid w:val="003E04CA"/>
    <w:rsid w:val="003E08AB"/>
    <w:rsid w:val="003E0F9E"/>
    <w:rsid w:val="003E1973"/>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872"/>
    <w:rsid w:val="003F68F9"/>
    <w:rsid w:val="003F77E1"/>
    <w:rsid w:val="003F7C8D"/>
    <w:rsid w:val="003F7D0E"/>
    <w:rsid w:val="00400042"/>
    <w:rsid w:val="004003B6"/>
    <w:rsid w:val="0040074C"/>
    <w:rsid w:val="0040151E"/>
    <w:rsid w:val="004017FA"/>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1CAE"/>
    <w:rsid w:val="00411EF1"/>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734"/>
    <w:rsid w:val="00430BDF"/>
    <w:rsid w:val="00430E89"/>
    <w:rsid w:val="0043132D"/>
    <w:rsid w:val="00431AF3"/>
    <w:rsid w:val="00431CD6"/>
    <w:rsid w:val="00431F4F"/>
    <w:rsid w:val="004320B2"/>
    <w:rsid w:val="00432617"/>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46E3F"/>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2F58"/>
    <w:rsid w:val="004639B0"/>
    <w:rsid w:val="0046477B"/>
    <w:rsid w:val="00464FDC"/>
    <w:rsid w:val="00465EC6"/>
    <w:rsid w:val="0046610F"/>
    <w:rsid w:val="0046651D"/>
    <w:rsid w:val="00466D2B"/>
    <w:rsid w:val="004676F2"/>
    <w:rsid w:val="004718B6"/>
    <w:rsid w:val="00472EFD"/>
    <w:rsid w:val="0047442B"/>
    <w:rsid w:val="00474C7B"/>
    <w:rsid w:val="00474F1D"/>
    <w:rsid w:val="004757D9"/>
    <w:rsid w:val="00477401"/>
    <w:rsid w:val="004801BF"/>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882"/>
    <w:rsid w:val="00493E77"/>
    <w:rsid w:val="004951E2"/>
    <w:rsid w:val="004956CE"/>
    <w:rsid w:val="00495910"/>
    <w:rsid w:val="00496B94"/>
    <w:rsid w:val="00496E86"/>
    <w:rsid w:val="004978EF"/>
    <w:rsid w:val="004A0233"/>
    <w:rsid w:val="004A19B1"/>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55E"/>
    <w:rsid w:val="004B0212"/>
    <w:rsid w:val="004B0336"/>
    <w:rsid w:val="004B0B7A"/>
    <w:rsid w:val="004B1614"/>
    <w:rsid w:val="004B2902"/>
    <w:rsid w:val="004B3355"/>
    <w:rsid w:val="004B4A26"/>
    <w:rsid w:val="004B4B8B"/>
    <w:rsid w:val="004B4C87"/>
    <w:rsid w:val="004B4D02"/>
    <w:rsid w:val="004B5A6A"/>
    <w:rsid w:val="004B6508"/>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C05"/>
    <w:rsid w:val="004E3D95"/>
    <w:rsid w:val="004E4B2C"/>
    <w:rsid w:val="004E53E5"/>
    <w:rsid w:val="004E5A59"/>
    <w:rsid w:val="004E5B16"/>
    <w:rsid w:val="004E6940"/>
    <w:rsid w:val="004E6995"/>
    <w:rsid w:val="004E7317"/>
    <w:rsid w:val="004F143B"/>
    <w:rsid w:val="004F1584"/>
    <w:rsid w:val="004F1B3C"/>
    <w:rsid w:val="004F1F46"/>
    <w:rsid w:val="004F2824"/>
    <w:rsid w:val="004F2929"/>
    <w:rsid w:val="004F38D3"/>
    <w:rsid w:val="004F39CB"/>
    <w:rsid w:val="004F3D4F"/>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64D1"/>
    <w:rsid w:val="005076DE"/>
    <w:rsid w:val="005104F1"/>
    <w:rsid w:val="00510886"/>
    <w:rsid w:val="00510888"/>
    <w:rsid w:val="00510D0C"/>
    <w:rsid w:val="00510E62"/>
    <w:rsid w:val="00511EFF"/>
    <w:rsid w:val="00511FD6"/>
    <w:rsid w:val="0051210E"/>
    <w:rsid w:val="00512CFC"/>
    <w:rsid w:val="0051381F"/>
    <w:rsid w:val="005142C5"/>
    <w:rsid w:val="0051430C"/>
    <w:rsid w:val="00514D0C"/>
    <w:rsid w:val="00516091"/>
    <w:rsid w:val="005173FC"/>
    <w:rsid w:val="00517430"/>
    <w:rsid w:val="0051773A"/>
    <w:rsid w:val="00517CF6"/>
    <w:rsid w:val="00517E7B"/>
    <w:rsid w:val="00520827"/>
    <w:rsid w:val="005209C0"/>
    <w:rsid w:val="0052174B"/>
    <w:rsid w:val="00521DB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8EB"/>
    <w:rsid w:val="00537AF4"/>
    <w:rsid w:val="00537C48"/>
    <w:rsid w:val="00540556"/>
    <w:rsid w:val="00540627"/>
    <w:rsid w:val="005408FE"/>
    <w:rsid w:val="005419C5"/>
    <w:rsid w:val="00541AD0"/>
    <w:rsid w:val="00541B7A"/>
    <w:rsid w:val="00542503"/>
    <w:rsid w:val="00542B65"/>
    <w:rsid w:val="00542BD7"/>
    <w:rsid w:val="00542C34"/>
    <w:rsid w:val="00544D84"/>
    <w:rsid w:val="0054593B"/>
    <w:rsid w:val="00545C1B"/>
    <w:rsid w:val="00546CA0"/>
    <w:rsid w:val="00547281"/>
    <w:rsid w:val="00547996"/>
    <w:rsid w:val="00547FAE"/>
    <w:rsid w:val="005500B9"/>
    <w:rsid w:val="0055027B"/>
    <w:rsid w:val="00550950"/>
    <w:rsid w:val="00550D82"/>
    <w:rsid w:val="00550EAE"/>
    <w:rsid w:val="005510C8"/>
    <w:rsid w:val="005514E5"/>
    <w:rsid w:val="0055262D"/>
    <w:rsid w:val="00552DD4"/>
    <w:rsid w:val="00552E5A"/>
    <w:rsid w:val="00552F9B"/>
    <w:rsid w:val="005530F3"/>
    <w:rsid w:val="0055355A"/>
    <w:rsid w:val="00553959"/>
    <w:rsid w:val="00553BDD"/>
    <w:rsid w:val="00554529"/>
    <w:rsid w:val="0055488C"/>
    <w:rsid w:val="005549AD"/>
    <w:rsid w:val="0055546C"/>
    <w:rsid w:val="00555553"/>
    <w:rsid w:val="005555EC"/>
    <w:rsid w:val="00555D65"/>
    <w:rsid w:val="00555FF6"/>
    <w:rsid w:val="00556A7F"/>
    <w:rsid w:val="00556C71"/>
    <w:rsid w:val="00556E5C"/>
    <w:rsid w:val="00556F1C"/>
    <w:rsid w:val="0055736E"/>
    <w:rsid w:val="0056020C"/>
    <w:rsid w:val="0056098F"/>
    <w:rsid w:val="005610E5"/>
    <w:rsid w:val="00561950"/>
    <w:rsid w:val="00561BFD"/>
    <w:rsid w:val="00562BA0"/>
    <w:rsid w:val="005633B6"/>
    <w:rsid w:val="0056421B"/>
    <w:rsid w:val="00564542"/>
    <w:rsid w:val="00565B7F"/>
    <w:rsid w:val="005673A9"/>
    <w:rsid w:val="00570148"/>
    <w:rsid w:val="00570503"/>
    <w:rsid w:val="00571045"/>
    <w:rsid w:val="0057165E"/>
    <w:rsid w:val="00571662"/>
    <w:rsid w:val="0057220C"/>
    <w:rsid w:val="00572776"/>
    <w:rsid w:val="00572A62"/>
    <w:rsid w:val="00572B39"/>
    <w:rsid w:val="00572BC5"/>
    <w:rsid w:val="00572D20"/>
    <w:rsid w:val="00573BA3"/>
    <w:rsid w:val="00574CD8"/>
    <w:rsid w:val="00575C1C"/>
    <w:rsid w:val="00576106"/>
    <w:rsid w:val="00576673"/>
    <w:rsid w:val="00576778"/>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48"/>
    <w:rsid w:val="005A2886"/>
    <w:rsid w:val="005A3401"/>
    <w:rsid w:val="005A3EA3"/>
    <w:rsid w:val="005A40D2"/>
    <w:rsid w:val="005A4641"/>
    <w:rsid w:val="005A4878"/>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200"/>
    <w:rsid w:val="005B5338"/>
    <w:rsid w:val="005B53A2"/>
    <w:rsid w:val="005B5911"/>
    <w:rsid w:val="005B7316"/>
    <w:rsid w:val="005B76FD"/>
    <w:rsid w:val="005B7B36"/>
    <w:rsid w:val="005C041D"/>
    <w:rsid w:val="005C0C5D"/>
    <w:rsid w:val="005C0DAE"/>
    <w:rsid w:val="005C16A4"/>
    <w:rsid w:val="005C2201"/>
    <w:rsid w:val="005C2665"/>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4B4F"/>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E86"/>
    <w:rsid w:val="00600F1A"/>
    <w:rsid w:val="00601341"/>
    <w:rsid w:val="006015CD"/>
    <w:rsid w:val="006038B7"/>
    <w:rsid w:val="00603A51"/>
    <w:rsid w:val="00603C0A"/>
    <w:rsid w:val="0060439C"/>
    <w:rsid w:val="0060453A"/>
    <w:rsid w:val="006054A7"/>
    <w:rsid w:val="00606545"/>
    <w:rsid w:val="006075E0"/>
    <w:rsid w:val="006104FA"/>
    <w:rsid w:val="00611857"/>
    <w:rsid w:val="00612226"/>
    <w:rsid w:val="00612C26"/>
    <w:rsid w:val="0061321C"/>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0F4"/>
    <w:rsid w:val="006356A8"/>
    <w:rsid w:val="00636F3C"/>
    <w:rsid w:val="00636F5E"/>
    <w:rsid w:val="00636F85"/>
    <w:rsid w:val="0063734A"/>
    <w:rsid w:val="0063758C"/>
    <w:rsid w:val="00637D49"/>
    <w:rsid w:val="0064084C"/>
    <w:rsid w:val="00640C25"/>
    <w:rsid w:val="006413B0"/>
    <w:rsid w:val="006415F0"/>
    <w:rsid w:val="00641DA2"/>
    <w:rsid w:val="006426CA"/>
    <w:rsid w:val="00642723"/>
    <w:rsid w:val="00642834"/>
    <w:rsid w:val="00642E66"/>
    <w:rsid w:val="0064403F"/>
    <w:rsid w:val="0064433F"/>
    <w:rsid w:val="00644CC5"/>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77D36"/>
    <w:rsid w:val="006806C4"/>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6B7"/>
    <w:rsid w:val="00695B02"/>
    <w:rsid w:val="0069658D"/>
    <w:rsid w:val="006A0486"/>
    <w:rsid w:val="006A06AC"/>
    <w:rsid w:val="006A0AFD"/>
    <w:rsid w:val="006A1957"/>
    <w:rsid w:val="006A260E"/>
    <w:rsid w:val="006A2FF1"/>
    <w:rsid w:val="006A3505"/>
    <w:rsid w:val="006A4140"/>
    <w:rsid w:val="006A4182"/>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ED9"/>
    <w:rsid w:val="006D5D24"/>
    <w:rsid w:val="006D62F3"/>
    <w:rsid w:val="006D6CB1"/>
    <w:rsid w:val="006E056A"/>
    <w:rsid w:val="006E09CA"/>
    <w:rsid w:val="006E1537"/>
    <w:rsid w:val="006E18A2"/>
    <w:rsid w:val="006E246F"/>
    <w:rsid w:val="006E3670"/>
    <w:rsid w:val="006E3E31"/>
    <w:rsid w:val="006E53EC"/>
    <w:rsid w:val="006E5A26"/>
    <w:rsid w:val="006E5A7C"/>
    <w:rsid w:val="006E5A85"/>
    <w:rsid w:val="006E5B16"/>
    <w:rsid w:val="006E5E8C"/>
    <w:rsid w:val="006E6075"/>
    <w:rsid w:val="006E6F14"/>
    <w:rsid w:val="006E75C5"/>
    <w:rsid w:val="006E7B54"/>
    <w:rsid w:val="006F02CD"/>
    <w:rsid w:val="006F0F47"/>
    <w:rsid w:val="006F126A"/>
    <w:rsid w:val="006F3742"/>
    <w:rsid w:val="006F4716"/>
    <w:rsid w:val="006F5421"/>
    <w:rsid w:val="006F6513"/>
    <w:rsid w:val="006F6744"/>
    <w:rsid w:val="006F69D3"/>
    <w:rsid w:val="006F729A"/>
    <w:rsid w:val="00700461"/>
    <w:rsid w:val="007007B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0751B"/>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6A3"/>
    <w:rsid w:val="00726A1A"/>
    <w:rsid w:val="00727D47"/>
    <w:rsid w:val="0073018E"/>
    <w:rsid w:val="007301B0"/>
    <w:rsid w:val="00730A66"/>
    <w:rsid w:val="00730B5A"/>
    <w:rsid w:val="00731AA6"/>
    <w:rsid w:val="00732465"/>
    <w:rsid w:val="0073247C"/>
    <w:rsid w:val="00732703"/>
    <w:rsid w:val="00732A8E"/>
    <w:rsid w:val="00733C77"/>
    <w:rsid w:val="007350DF"/>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0B30"/>
    <w:rsid w:val="00751778"/>
    <w:rsid w:val="007520BB"/>
    <w:rsid w:val="00752CE0"/>
    <w:rsid w:val="00752DA7"/>
    <w:rsid w:val="0075382E"/>
    <w:rsid w:val="00753A91"/>
    <w:rsid w:val="00753B94"/>
    <w:rsid w:val="00753BBF"/>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0A9A"/>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5CB"/>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4E09"/>
    <w:rsid w:val="00796915"/>
    <w:rsid w:val="00796E27"/>
    <w:rsid w:val="007973E6"/>
    <w:rsid w:val="007A0963"/>
    <w:rsid w:val="007A0D55"/>
    <w:rsid w:val="007A1336"/>
    <w:rsid w:val="007A18A9"/>
    <w:rsid w:val="007A2B2E"/>
    <w:rsid w:val="007A2F62"/>
    <w:rsid w:val="007A464C"/>
    <w:rsid w:val="007A5431"/>
    <w:rsid w:val="007A58DE"/>
    <w:rsid w:val="007A5FD1"/>
    <w:rsid w:val="007A614B"/>
    <w:rsid w:val="007A6EC1"/>
    <w:rsid w:val="007A7BD1"/>
    <w:rsid w:val="007A7FC8"/>
    <w:rsid w:val="007B04E9"/>
    <w:rsid w:val="007B0C98"/>
    <w:rsid w:val="007B0FC4"/>
    <w:rsid w:val="007B1A19"/>
    <w:rsid w:val="007B2273"/>
    <w:rsid w:val="007B2398"/>
    <w:rsid w:val="007B29F7"/>
    <w:rsid w:val="007B3501"/>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1536"/>
    <w:rsid w:val="007E1C59"/>
    <w:rsid w:val="007E2091"/>
    <w:rsid w:val="007E265F"/>
    <w:rsid w:val="007E2965"/>
    <w:rsid w:val="007E4262"/>
    <w:rsid w:val="007E53EB"/>
    <w:rsid w:val="007E57B1"/>
    <w:rsid w:val="007E623F"/>
    <w:rsid w:val="007E6D2E"/>
    <w:rsid w:val="007E712F"/>
    <w:rsid w:val="007E7600"/>
    <w:rsid w:val="007F01A1"/>
    <w:rsid w:val="007F08EE"/>
    <w:rsid w:val="007F0D34"/>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903"/>
    <w:rsid w:val="00803DF7"/>
    <w:rsid w:val="008040CC"/>
    <w:rsid w:val="0080640F"/>
    <w:rsid w:val="008067D8"/>
    <w:rsid w:val="008102B0"/>
    <w:rsid w:val="00810F09"/>
    <w:rsid w:val="00811CBD"/>
    <w:rsid w:val="00811D72"/>
    <w:rsid w:val="00812398"/>
    <w:rsid w:val="008125A1"/>
    <w:rsid w:val="008127D3"/>
    <w:rsid w:val="00812BF9"/>
    <w:rsid w:val="008143A7"/>
    <w:rsid w:val="008145FC"/>
    <w:rsid w:val="00814FD5"/>
    <w:rsid w:val="0081557D"/>
    <w:rsid w:val="00816078"/>
    <w:rsid w:val="00816B49"/>
    <w:rsid w:val="00817810"/>
    <w:rsid w:val="00817F86"/>
    <w:rsid w:val="008207BC"/>
    <w:rsid w:val="00820E1C"/>
    <w:rsid w:val="00820F48"/>
    <w:rsid w:val="00821485"/>
    <w:rsid w:val="00821B3C"/>
    <w:rsid w:val="008227B0"/>
    <w:rsid w:val="00822D6D"/>
    <w:rsid w:val="00823EFB"/>
    <w:rsid w:val="008241D6"/>
    <w:rsid w:val="00824BFA"/>
    <w:rsid w:val="00824DA2"/>
    <w:rsid w:val="00825CA1"/>
    <w:rsid w:val="00826CAF"/>
    <w:rsid w:val="008275AB"/>
    <w:rsid w:val="00827892"/>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6D94"/>
    <w:rsid w:val="0085740C"/>
    <w:rsid w:val="008578DC"/>
    <w:rsid w:val="00857B5F"/>
    <w:rsid w:val="00857F2B"/>
    <w:rsid w:val="00860327"/>
    <w:rsid w:val="00860AD2"/>
    <w:rsid w:val="0086104E"/>
    <w:rsid w:val="008612AB"/>
    <w:rsid w:val="008616AA"/>
    <w:rsid w:val="00861B47"/>
    <w:rsid w:val="00862079"/>
    <w:rsid w:val="008620EC"/>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21E"/>
    <w:rsid w:val="00882FA0"/>
    <w:rsid w:val="00883032"/>
    <w:rsid w:val="00883B30"/>
    <w:rsid w:val="0088484B"/>
    <w:rsid w:val="00884D2C"/>
    <w:rsid w:val="00884FF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536B"/>
    <w:rsid w:val="00895581"/>
    <w:rsid w:val="008956FD"/>
    <w:rsid w:val="00895A6A"/>
    <w:rsid w:val="00896EC3"/>
    <w:rsid w:val="008A019E"/>
    <w:rsid w:val="008A04CB"/>
    <w:rsid w:val="008A073F"/>
    <w:rsid w:val="008A0C52"/>
    <w:rsid w:val="008A1274"/>
    <w:rsid w:val="008A278F"/>
    <w:rsid w:val="008A323F"/>
    <w:rsid w:val="008A32B9"/>
    <w:rsid w:val="008A36F6"/>
    <w:rsid w:val="008A50C3"/>
    <w:rsid w:val="008A5568"/>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534"/>
    <w:rsid w:val="008B5892"/>
    <w:rsid w:val="008B5B29"/>
    <w:rsid w:val="008B6567"/>
    <w:rsid w:val="008B6667"/>
    <w:rsid w:val="008B6788"/>
    <w:rsid w:val="008C0495"/>
    <w:rsid w:val="008C0BFE"/>
    <w:rsid w:val="008C0F38"/>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1A59"/>
    <w:rsid w:val="008E1FF2"/>
    <w:rsid w:val="008E25EB"/>
    <w:rsid w:val="008E2909"/>
    <w:rsid w:val="008E33A9"/>
    <w:rsid w:val="008E3EA6"/>
    <w:rsid w:val="008E531D"/>
    <w:rsid w:val="008E64C0"/>
    <w:rsid w:val="008E6DDC"/>
    <w:rsid w:val="008E6EA0"/>
    <w:rsid w:val="008F0615"/>
    <w:rsid w:val="008F2437"/>
    <w:rsid w:val="008F2B2C"/>
    <w:rsid w:val="008F356C"/>
    <w:rsid w:val="008F3ADE"/>
    <w:rsid w:val="008F45D0"/>
    <w:rsid w:val="008F471A"/>
    <w:rsid w:val="008F4B6A"/>
    <w:rsid w:val="008F51BF"/>
    <w:rsid w:val="008F5E4E"/>
    <w:rsid w:val="008F745F"/>
    <w:rsid w:val="008F7661"/>
    <w:rsid w:val="00900048"/>
    <w:rsid w:val="00900AC9"/>
    <w:rsid w:val="00900F18"/>
    <w:rsid w:val="00900FC0"/>
    <w:rsid w:val="009013AE"/>
    <w:rsid w:val="00901CD6"/>
    <w:rsid w:val="00902650"/>
    <w:rsid w:val="0090268E"/>
    <w:rsid w:val="00903DA0"/>
    <w:rsid w:val="00904141"/>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19A"/>
    <w:rsid w:val="0091628B"/>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5FA3"/>
    <w:rsid w:val="00936214"/>
    <w:rsid w:val="0093667E"/>
    <w:rsid w:val="00936726"/>
    <w:rsid w:val="00936745"/>
    <w:rsid w:val="00936C29"/>
    <w:rsid w:val="009412AD"/>
    <w:rsid w:val="00941AB6"/>
    <w:rsid w:val="009427A0"/>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EED"/>
    <w:rsid w:val="0096527E"/>
    <w:rsid w:val="009657CD"/>
    <w:rsid w:val="00965A88"/>
    <w:rsid w:val="00965BB5"/>
    <w:rsid w:val="00966178"/>
    <w:rsid w:val="009669AC"/>
    <w:rsid w:val="009669F4"/>
    <w:rsid w:val="0096725D"/>
    <w:rsid w:val="009673EF"/>
    <w:rsid w:val="00967D89"/>
    <w:rsid w:val="00967F67"/>
    <w:rsid w:val="00970E37"/>
    <w:rsid w:val="00971D00"/>
    <w:rsid w:val="00972030"/>
    <w:rsid w:val="00972172"/>
    <w:rsid w:val="00972DDE"/>
    <w:rsid w:val="00973127"/>
    <w:rsid w:val="00973A64"/>
    <w:rsid w:val="00974867"/>
    <w:rsid w:val="00974976"/>
    <w:rsid w:val="00974BEF"/>
    <w:rsid w:val="00974BF0"/>
    <w:rsid w:val="00975494"/>
    <w:rsid w:val="00975720"/>
    <w:rsid w:val="00975A1A"/>
    <w:rsid w:val="009806FB"/>
    <w:rsid w:val="00981046"/>
    <w:rsid w:val="0098172A"/>
    <w:rsid w:val="0098260D"/>
    <w:rsid w:val="00983613"/>
    <w:rsid w:val="00983A0B"/>
    <w:rsid w:val="0098463E"/>
    <w:rsid w:val="00990A56"/>
    <w:rsid w:val="00990D1F"/>
    <w:rsid w:val="0099115A"/>
    <w:rsid w:val="009927B8"/>
    <w:rsid w:val="009939FD"/>
    <w:rsid w:val="00993EA2"/>
    <w:rsid w:val="00994C86"/>
    <w:rsid w:val="00996185"/>
    <w:rsid w:val="0099624F"/>
    <w:rsid w:val="00996536"/>
    <w:rsid w:val="00996B08"/>
    <w:rsid w:val="009975C1"/>
    <w:rsid w:val="0099798B"/>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1E01"/>
    <w:rsid w:val="009B225F"/>
    <w:rsid w:val="009B2270"/>
    <w:rsid w:val="009B2B5D"/>
    <w:rsid w:val="009B378C"/>
    <w:rsid w:val="009B3D84"/>
    <w:rsid w:val="009B45E1"/>
    <w:rsid w:val="009B4F72"/>
    <w:rsid w:val="009B5343"/>
    <w:rsid w:val="009B53A4"/>
    <w:rsid w:val="009B5B85"/>
    <w:rsid w:val="009B6D1C"/>
    <w:rsid w:val="009B6F6A"/>
    <w:rsid w:val="009B71FB"/>
    <w:rsid w:val="009B74DA"/>
    <w:rsid w:val="009B7ACC"/>
    <w:rsid w:val="009C1120"/>
    <w:rsid w:val="009C16CD"/>
    <w:rsid w:val="009C20CC"/>
    <w:rsid w:val="009C266F"/>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E03DC"/>
    <w:rsid w:val="009E10C8"/>
    <w:rsid w:val="009E111A"/>
    <w:rsid w:val="009E2A2D"/>
    <w:rsid w:val="009E32C4"/>
    <w:rsid w:val="009E353C"/>
    <w:rsid w:val="009E4BCA"/>
    <w:rsid w:val="009E50C9"/>
    <w:rsid w:val="009E58D0"/>
    <w:rsid w:val="009E5C5C"/>
    <w:rsid w:val="009E7307"/>
    <w:rsid w:val="009E73D0"/>
    <w:rsid w:val="009F09E8"/>
    <w:rsid w:val="009F2CCA"/>
    <w:rsid w:val="009F416E"/>
    <w:rsid w:val="009F4440"/>
    <w:rsid w:val="009F4E94"/>
    <w:rsid w:val="009F4F12"/>
    <w:rsid w:val="009F7894"/>
    <w:rsid w:val="00A003E7"/>
    <w:rsid w:val="00A0088B"/>
    <w:rsid w:val="00A00C61"/>
    <w:rsid w:val="00A01D32"/>
    <w:rsid w:val="00A03487"/>
    <w:rsid w:val="00A035B9"/>
    <w:rsid w:val="00A03F7D"/>
    <w:rsid w:val="00A0465F"/>
    <w:rsid w:val="00A053AD"/>
    <w:rsid w:val="00A061EE"/>
    <w:rsid w:val="00A0703B"/>
    <w:rsid w:val="00A07CE3"/>
    <w:rsid w:val="00A10D8A"/>
    <w:rsid w:val="00A115DA"/>
    <w:rsid w:val="00A11628"/>
    <w:rsid w:val="00A11E82"/>
    <w:rsid w:val="00A120AF"/>
    <w:rsid w:val="00A13163"/>
    <w:rsid w:val="00A13C7C"/>
    <w:rsid w:val="00A14869"/>
    <w:rsid w:val="00A14FBC"/>
    <w:rsid w:val="00A1546C"/>
    <w:rsid w:val="00A15FA7"/>
    <w:rsid w:val="00A164FA"/>
    <w:rsid w:val="00A17AF2"/>
    <w:rsid w:val="00A20073"/>
    <w:rsid w:val="00A21065"/>
    <w:rsid w:val="00A21B65"/>
    <w:rsid w:val="00A21C07"/>
    <w:rsid w:val="00A227E2"/>
    <w:rsid w:val="00A229A1"/>
    <w:rsid w:val="00A229C4"/>
    <w:rsid w:val="00A244B8"/>
    <w:rsid w:val="00A25853"/>
    <w:rsid w:val="00A25AB6"/>
    <w:rsid w:val="00A3052A"/>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54FE"/>
    <w:rsid w:val="00A465FA"/>
    <w:rsid w:val="00A468E7"/>
    <w:rsid w:val="00A46A65"/>
    <w:rsid w:val="00A46CAC"/>
    <w:rsid w:val="00A46EB4"/>
    <w:rsid w:val="00A47EE9"/>
    <w:rsid w:val="00A507E4"/>
    <w:rsid w:val="00A509EA"/>
    <w:rsid w:val="00A517ED"/>
    <w:rsid w:val="00A51AF8"/>
    <w:rsid w:val="00A51EA8"/>
    <w:rsid w:val="00A52716"/>
    <w:rsid w:val="00A5279C"/>
    <w:rsid w:val="00A53529"/>
    <w:rsid w:val="00A5393A"/>
    <w:rsid w:val="00A55A2D"/>
    <w:rsid w:val="00A55CAE"/>
    <w:rsid w:val="00A55E63"/>
    <w:rsid w:val="00A56082"/>
    <w:rsid w:val="00A5660F"/>
    <w:rsid w:val="00A57A4B"/>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491"/>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A51"/>
    <w:rsid w:val="00A81C45"/>
    <w:rsid w:val="00A831B9"/>
    <w:rsid w:val="00A84389"/>
    <w:rsid w:val="00A855A9"/>
    <w:rsid w:val="00A85AE4"/>
    <w:rsid w:val="00A8638A"/>
    <w:rsid w:val="00A864FF"/>
    <w:rsid w:val="00A87510"/>
    <w:rsid w:val="00A87976"/>
    <w:rsid w:val="00A879BE"/>
    <w:rsid w:val="00A90DD4"/>
    <w:rsid w:val="00A9199F"/>
    <w:rsid w:val="00A9223F"/>
    <w:rsid w:val="00A924FF"/>
    <w:rsid w:val="00A92EF6"/>
    <w:rsid w:val="00A9304F"/>
    <w:rsid w:val="00A9335D"/>
    <w:rsid w:val="00A93FD7"/>
    <w:rsid w:val="00A94D18"/>
    <w:rsid w:val="00A94E61"/>
    <w:rsid w:val="00A956A7"/>
    <w:rsid w:val="00A95DA6"/>
    <w:rsid w:val="00A97E0E"/>
    <w:rsid w:val="00AA0023"/>
    <w:rsid w:val="00AA0A9F"/>
    <w:rsid w:val="00AA0E18"/>
    <w:rsid w:val="00AA1C27"/>
    <w:rsid w:val="00AA2E6F"/>
    <w:rsid w:val="00AA4CD9"/>
    <w:rsid w:val="00AA50E3"/>
    <w:rsid w:val="00AA7E21"/>
    <w:rsid w:val="00AB0055"/>
    <w:rsid w:val="00AB0793"/>
    <w:rsid w:val="00AB189C"/>
    <w:rsid w:val="00AB19C7"/>
    <w:rsid w:val="00AB243A"/>
    <w:rsid w:val="00AB28C3"/>
    <w:rsid w:val="00AB3CC4"/>
    <w:rsid w:val="00AB4583"/>
    <w:rsid w:val="00AB46DE"/>
    <w:rsid w:val="00AB4AA9"/>
    <w:rsid w:val="00AB5B02"/>
    <w:rsid w:val="00AB5F30"/>
    <w:rsid w:val="00AB5FC7"/>
    <w:rsid w:val="00AB61BF"/>
    <w:rsid w:val="00AB6A2D"/>
    <w:rsid w:val="00AB6AAC"/>
    <w:rsid w:val="00AB6B17"/>
    <w:rsid w:val="00AB6B2E"/>
    <w:rsid w:val="00AB6CA0"/>
    <w:rsid w:val="00AC06C1"/>
    <w:rsid w:val="00AC0ACC"/>
    <w:rsid w:val="00AC1910"/>
    <w:rsid w:val="00AC1EC5"/>
    <w:rsid w:val="00AC278A"/>
    <w:rsid w:val="00AC32A5"/>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12F3"/>
    <w:rsid w:val="00AF2787"/>
    <w:rsid w:val="00AF2999"/>
    <w:rsid w:val="00AF29A6"/>
    <w:rsid w:val="00AF38DB"/>
    <w:rsid w:val="00AF3DBA"/>
    <w:rsid w:val="00AF4099"/>
    <w:rsid w:val="00AF5493"/>
    <w:rsid w:val="00AF5A91"/>
    <w:rsid w:val="00AF5C59"/>
    <w:rsid w:val="00AF5F94"/>
    <w:rsid w:val="00AF7480"/>
    <w:rsid w:val="00AF7AA6"/>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27CE6"/>
    <w:rsid w:val="00B30041"/>
    <w:rsid w:val="00B307F0"/>
    <w:rsid w:val="00B30B28"/>
    <w:rsid w:val="00B31EB8"/>
    <w:rsid w:val="00B32A2D"/>
    <w:rsid w:val="00B33363"/>
    <w:rsid w:val="00B3472F"/>
    <w:rsid w:val="00B355E8"/>
    <w:rsid w:val="00B35702"/>
    <w:rsid w:val="00B35CCC"/>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47935"/>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3C2E"/>
    <w:rsid w:val="00B65174"/>
    <w:rsid w:val="00B65292"/>
    <w:rsid w:val="00B656DF"/>
    <w:rsid w:val="00B66543"/>
    <w:rsid w:val="00B667C6"/>
    <w:rsid w:val="00B669CF"/>
    <w:rsid w:val="00B66C93"/>
    <w:rsid w:val="00B66E94"/>
    <w:rsid w:val="00B67F78"/>
    <w:rsid w:val="00B70FDE"/>
    <w:rsid w:val="00B7111C"/>
    <w:rsid w:val="00B72C4F"/>
    <w:rsid w:val="00B737A7"/>
    <w:rsid w:val="00B738A2"/>
    <w:rsid w:val="00B74251"/>
    <w:rsid w:val="00B747B1"/>
    <w:rsid w:val="00B749DA"/>
    <w:rsid w:val="00B74B25"/>
    <w:rsid w:val="00B74E6D"/>
    <w:rsid w:val="00B7577F"/>
    <w:rsid w:val="00B76698"/>
    <w:rsid w:val="00B7731A"/>
    <w:rsid w:val="00B7771E"/>
    <w:rsid w:val="00B8046B"/>
    <w:rsid w:val="00B80CAD"/>
    <w:rsid w:val="00B80D89"/>
    <w:rsid w:val="00B8164D"/>
    <w:rsid w:val="00B81865"/>
    <w:rsid w:val="00B82B1B"/>
    <w:rsid w:val="00B82BFF"/>
    <w:rsid w:val="00B83331"/>
    <w:rsid w:val="00B83AF1"/>
    <w:rsid w:val="00B83E63"/>
    <w:rsid w:val="00B84AC8"/>
    <w:rsid w:val="00B84BEA"/>
    <w:rsid w:val="00B85AB7"/>
    <w:rsid w:val="00B85FF5"/>
    <w:rsid w:val="00B860B5"/>
    <w:rsid w:val="00B86455"/>
    <w:rsid w:val="00B86AA8"/>
    <w:rsid w:val="00B86F5A"/>
    <w:rsid w:val="00B87D1B"/>
    <w:rsid w:val="00B9030E"/>
    <w:rsid w:val="00B90446"/>
    <w:rsid w:val="00B904AC"/>
    <w:rsid w:val="00B90595"/>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4DE8"/>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505"/>
    <w:rsid w:val="00BB4684"/>
    <w:rsid w:val="00BB471A"/>
    <w:rsid w:val="00BB4DB0"/>
    <w:rsid w:val="00BB4E75"/>
    <w:rsid w:val="00BB5585"/>
    <w:rsid w:val="00BB5D14"/>
    <w:rsid w:val="00BB6230"/>
    <w:rsid w:val="00BB7568"/>
    <w:rsid w:val="00BC0653"/>
    <w:rsid w:val="00BC1360"/>
    <w:rsid w:val="00BC1ADA"/>
    <w:rsid w:val="00BC22E2"/>
    <w:rsid w:val="00BC2623"/>
    <w:rsid w:val="00BC2660"/>
    <w:rsid w:val="00BC2BC1"/>
    <w:rsid w:val="00BC2D37"/>
    <w:rsid w:val="00BC3421"/>
    <w:rsid w:val="00BC3665"/>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2971"/>
    <w:rsid w:val="00BD2BD1"/>
    <w:rsid w:val="00BD30A9"/>
    <w:rsid w:val="00BD39ED"/>
    <w:rsid w:val="00BD3E46"/>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104"/>
    <w:rsid w:val="00C10AF2"/>
    <w:rsid w:val="00C116F9"/>
    <w:rsid w:val="00C11E86"/>
    <w:rsid w:val="00C12346"/>
    <w:rsid w:val="00C12673"/>
    <w:rsid w:val="00C12A13"/>
    <w:rsid w:val="00C12DC0"/>
    <w:rsid w:val="00C1351E"/>
    <w:rsid w:val="00C13610"/>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4F0"/>
    <w:rsid w:val="00C46C82"/>
    <w:rsid w:val="00C500CD"/>
    <w:rsid w:val="00C50FA3"/>
    <w:rsid w:val="00C51931"/>
    <w:rsid w:val="00C519CA"/>
    <w:rsid w:val="00C52884"/>
    <w:rsid w:val="00C529B7"/>
    <w:rsid w:val="00C53791"/>
    <w:rsid w:val="00C53C2D"/>
    <w:rsid w:val="00C54CCA"/>
    <w:rsid w:val="00C55E60"/>
    <w:rsid w:val="00C5681E"/>
    <w:rsid w:val="00C56964"/>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0737"/>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558C"/>
    <w:rsid w:val="00C85F36"/>
    <w:rsid w:val="00C8755D"/>
    <w:rsid w:val="00C87B8A"/>
    <w:rsid w:val="00C90642"/>
    <w:rsid w:val="00C90C3E"/>
    <w:rsid w:val="00C9221E"/>
    <w:rsid w:val="00C9242C"/>
    <w:rsid w:val="00C931A9"/>
    <w:rsid w:val="00C932F3"/>
    <w:rsid w:val="00C934C7"/>
    <w:rsid w:val="00C9401A"/>
    <w:rsid w:val="00C94E87"/>
    <w:rsid w:val="00C95653"/>
    <w:rsid w:val="00C963A0"/>
    <w:rsid w:val="00C966CC"/>
    <w:rsid w:val="00C972F1"/>
    <w:rsid w:val="00C97E07"/>
    <w:rsid w:val="00CA0B09"/>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BB0"/>
    <w:rsid w:val="00CB4C20"/>
    <w:rsid w:val="00CB4FBE"/>
    <w:rsid w:val="00CB5141"/>
    <w:rsid w:val="00CB5DE7"/>
    <w:rsid w:val="00CB61A1"/>
    <w:rsid w:val="00CB649E"/>
    <w:rsid w:val="00CB703C"/>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0A09"/>
    <w:rsid w:val="00CE298A"/>
    <w:rsid w:val="00CE2C57"/>
    <w:rsid w:val="00CE327F"/>
    <w:rsid w:val="00CE37ED"/>
    <w:rsid w:val="00CE38FC"/>
    <w:rsid w:val="00CE3D11"/>
    <w:rsid w:val="00CE3DC7"/>
    <w:rsid w:val="00CE6A98"/>
    <w:rsid w:val="00CE7E84"/>
    <w:rsid w:val="00CE7EDB"/>
    <w:rsid w:val="00CF2A9E"/>
    <w:rsid w:val="00CF2C1D"/>
    <w:rsid w:val="00CF2FD1"/>
    <w:rsid w:val="00CF30A0"/>
    <w:rsid w:val="00CF4744"/>
    <w:rsid w:val="00CF4F6B"/>
    <w:rsid w:val="00CF5C47"/>
    <w:rsid w:val="00CF7FAA"/>
    <w:rsid w:val="00D00EDD"/>
    <w:rsid w:val="00D019EA"/>
    <w:rsid w:val="00D01B5F"/>
    <w:rsid w:val="00D02344"/>
    <w:rsid w:val="00D029B3"/>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28C"/>
    <w:rsid w:val="00D10433"/>
    <w:rsid w:val="00D10CC9"/>
    <w:rsid w:val="00D10D37"/>
    <w:rsid w:val="00D11CEB"/>
    <w:rsid w:val="00D11D53"/>
    <w:rsid w:val="00D11E7D"/>
    <w:rsid w:val="00D11FA3"/>
    <w:rsid w:val="00D14085"/>
    <w:rsid w:val="00D14529"/>
    <w:rsid w:val="00D1469B"/>
    <w:rsid w:val="00D15429"/>
    <w:rsid w:val="00D15B13"/>
    <w:rsid w:val="00D17686"/>
    <w:rsid w:val="00D17957"/>
    <w:rsid w:val="00D17A44"/>
    <w:rsid w:val="00D202BB"/>
    <w:rsid w:val="00D21B01"/>
    <w:rsid w:val="00D21B98"/>
    <w:rsid w:val="00D22939"/>
    <w:rsid w:val="00D22F63"/>
    <w:rsid w:val="00D23C04"/>
    <w:rsid w:val="00D23E08"/>
    <w:rsid w:val="00D2472D"/>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5108"/>
    <w:rsid w:val="00DB64D3"/>
    <w:rsid w:val="00DB6E71"/>
    <w:rsid w:val="00DC04FD"/>
    <w:rsid w:val="00DC11CF"/>
    <w:rsid w:val="00DC132E"/>
    <w:rsid w:val="00DC1403"/>
    <w:rsid w:val="00DC1616"/>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155"/>
    <w:rsid w:val="00DD24E8"/>
    <w:rsid w:val="00DD27CF"/>
    <w:rsid w:val="00DD2E46"/>
    <w:rsid w:val="00DD3039"/>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51A"/>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2C38"/>
    <w:rsid w:val="00E02C69"/>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578"/>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06B3"/>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47B"/>
    <w:rsid w:val="00E346D0"/>
    <w:rsid w:val="00E34766"/>
    <w:rsid w:val="00E34D07"/>
    <w:rsid w:val="00E35243"/>
    <w:rsid w:val="00E358E4"/>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8C8"/>
    <w:rsid w:val="00E46A36"/>
    <w:rsid w:val="00E46DC4"/>
    <w:rsid w:val="00E46F60"/>
    <w:rsid w:val="00E4702A"/>
    <w:rsid w:val="00E47158"/>
    <w:rsid w:val="00E47B24"/>
    <w:rsid w:val="00E47B6A"/>
    <w:rsid w:val="00E47E6F"/>
    <w:rsid w:val="00E47F93"/>
    <w:rsid w:val="00E50552"/>
    <w:rsid w:val="00E5058D"/>
    <w:rsid w:val="00E5073A"/>
    <w:rsid w:val="00E50EAC"/>
    <w:rsid w:val="00E50F3E"/>
    <w:rsid w:val="00E513C5"/>
    <w:rsid w:val="00E53093"/>
    <w:rsid w:val="00E530BD"/>
    <w:rsid w:val="00E5385A"/>
    <w:rsid w:val="00E53C02"/>
    <w:rsid w:val="00E55135"/>
    <w:rsid w:val="00E5581A"/>
    <w:rsid w:val="00E55852"/>
    <w:rsid w:val="00E55B95"/>
    <w:rsid w:val="00E55D00"/>
    <w:rsid w:val="00E55D40"/>
    <w:rsid w:val="00E567A1"/>
    <w:rsid w:val="00E56961"/>
    <w:rsid w:val="00E56ADB"/>
    <w:rsid w:val="00E56D46"/>
    <w:rsid w:val="00E57D95"/>
    <w:rsid w:val="00E60435"/>
    <w:rsid w:val="00E61197"/>
    <w:rsid w:val="00E6176E"/>
    <w:rsid w:val="00E619AB"/>
    <w:rsid w:val="00E61B46"/>
    <w:rsid w:val="00E620A6"/>
    <w:rsid w:val="00E62DD0"/>
    <w:rsid w:val="00E6367C"/>
    <w:rsid w:val="00E64AFB"/>
    <w:rsid w:val="00E64E91"/>
    <w:rsid w:val="00E65075"/>
    <w:rsid w:val="00E65AEB"/>
    <w:rsid w:val="00E66395"/>
    <w:rsid w:val="00E67866"/>
    <w:rsid w:val="00E67D23"/>
    <w:rsid w:val="00E70267"/>
    <w:rsid w:val="00E70FB7"/>
    <w:rsid w:val="00E71467"/>
    <w:rsid w:val="00E71621"/>
    <w:rsid w:val="00E71D93"/>
    <w:rsid w:val="00E7262A"/>
    <w:rsid w:val="00E72EA8"/>
    <w:rsid w:val="00E72EEE"/>
    <w:rsid w:val="00E7324D"/>
    <w:rsid w:val="00E73C43"/>
    <w:rsid w:val="00E74212"/>
    <w:rsid w:val="00E74A28"/>
    <w:rsid w:val="00E75C42"/>
    <w:rsid w:val="00E75D0E"/>
    <w:rsid w:val="00E76855"/>
    <w:rsid w:val="00E769E9"/>
    <w:rsid w:val="00E76B0E"/>
    <w:rsid w:val="00E76E7D"/>
    <w:rsid w:val="00E8025A"/>
    <w:rsid w:val="00E80CBB"/>
    <w:rsid w:val="00E8165E"/>
    <w:rsid w:val="00E817AB"/>
    <w:rsid w:val="00E818A1"/>
    <w:rsid w:val="00E82A73"/>
    <w:rsid w:val="00E82B7D"/>
    <w:rsid w:val="00E82DA4"/>
    <w:rsid w:val="00E82F86"/>
    <w:rsid w:val="00E83503"/>
    <w:rsid w:val="00E83CE9"/>
    <w:rsid w:val="00E83DF5"/>
    <w:rsid w:val="00E84306"/>
    <w:rsid w:val="00E8453F"/>
    <w:rsid w:val="00E85068"/>
    <w:rsid w:val="00E85554"/>
    <w:rsid w:val="00E85627"/>
    <w:rsid w:val="00E86205"/>
    <w:rsid w:val="00E87476"/>
    <w:rsid w:val="00E878FC"/>
    <w:rsid w:val="00E87EDF"/>
    <w:rsid w:val="00E90772"/>
    <w:rsid w:val="00E90816"/>
    <w:rsid w:val="00E90C46"/>
    <w:rsid w:val="00E90D7C"/>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97E02"/>
    <w:rsid w:val="00EA0040"/>
    <w:rsid w:val="00EA0872"/>
    <w:rsid w:val="00EA0BFA"/>
    <w:rsid w:val="00EA0CF5"/>
    <w:rsid w:val="00EA15E4"/>
    <w:rsid w:val="00EA1EC9"/>
    <w:rsid w:val="00EA20B4"/>
    <w:rsid w:val="00EA2B4F"/>
    <w:rsid w:val="00EA3630"/>
    <w:rsid w:val="00EA439A"/>
    <w:rsid w:val="00EA50DB"/>
    <w:rsid w:val="00EA57BC"/>
    <w:rsid w:val="00EA74F8"/>
    <w:rsid w:val="00EA78CD"/>
    <w:rsid w:val="00EA79F6"/>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85E"/>
    <w:rsid w:val="00EC3961"/>
    <w:rsid w:val="00EC3F35"/>
    <w:rsid w:val="00EC44B4"/>
    <w:rsid w:val="00EC4743"/>
    <w:rsid w:val="00EC4B57"/>
    <w:rsid w:val="00EC4B74"/>
    <w:rsid w:val="00EC69D5"/>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487"/>
    <w:rsid w:val="00EE1791"/>
    <w:rsid w:val="00EE235D"/>
    <w:rsid w:val="00EE3035"/>
    <w:rsid w:val="00EE3C24"/>
    <w:rsid w:val="00EE4BEB"/>
    <w:rsid w:val="00EE560E"/>
    <w:rsid w:val="00EE5915"/>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4770"/>
    <w:rsid w:val="00F051F1"/>
    <w:rsid w:val="00F05F19"/>
    <w:rsid w:val="00F0604D"/>
    <w:rsid w:val="00F0646B"/>
    <w:rsid w:val="00F06BB1"/>
    <w:rsid w:val="00F0778F"/>
    <w:rsid w:val="00F1121D"/>
    <w:rsid w:val="00F1146C"/>
    <w:rsid w:val="00F11F74"/>
    <w:rsid w:val="00F12BDA"/>
    <w:rsid w:val="00F1556D"/>
    <w:rsid w:val="00F15D6E"/>
    <w:rsid w:val="00F16BC6"/>
    <w:rsid w:val="00F16BC8"/>
    <w:rsid w:val="00F16C53"/>
    <w:rsid w:val="00F17717"/>
    <w:rsid w:val="00F1779D"/>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FD9"/>
    <w:rsid w:val="00F412A5"/>
    <w:rsid w:val="00F42AFB"/>
    <w:rsid w:val="00F42BA8"/>
    <w:rsid w:val="00F43AD9"/>
    <w:rsid w:val="00F45149"/>
    <w:rsid w:val="00F459FB"/>
    <w:rsid w:val="00F45EC0"/>
    <w:rsid w:val="00F4688C"/>
    <w:rsid w:val="00F46FFE"/>
    <w:rsid w:val="00F47842"/>
    <w:rsid w:val="00F47E25"/>
    <w:rsid w:val="00F50143"/>
    <w:rsid w:val="00F50347"/>
    <w:rsid w:val="00F50B83"/>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BB4"/>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0DA9"/>
    <w:rsid w:val="00F8197B"/>
    <w:rsid w:val="00F819D2"/>
    <w:rsid w:val="00F81BA0"/>
    <w:rsid w:val="00F8221E"/>
    <w:rsid w:val="00F82C7B"/>
    <w:rsid w:val="00F82E4E"/>
    <w:rsid w:val="00F834CE"/>
    <w:rsid w:val="00F83A51"/>
    <w:rsid w:val="00F83D44"/>
    <w:rsid w:val="00F848EE"/>
    <w:rsid w:val="00F84FCD"/>
    <w:rsid w:val="00F85D24"/>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2E0"/>
    <w:rsid w:val="00F976A8"/>
    <w:rsid w:val="00F976CB"/>
    <w:rsid w:val="00FA2C3E"/>
    <w:rsid w:val="00FA3129"/>
    <w:rsid w:val="00FA3914"/>
    <w:rsid w:val="00FA4046"/>
    <w:rsid w:val="00FA506A"/>
    <w:rsid w:val="00FA59B5"/>
    <w:rsid w:val="00FA694A"/>
    <w:rsid w:val="00FA71B1"/>
    <w:rsid w:val="00FA78AF"/>
    <w:rsid w:val="00FA78F0"/>
    <w:rsid w:val="00FA7974"/>
    <w:rsid w:val="00FB059E"/>
    <w:rsid w:val="00FB2646"/>
    <w:rsid w:val="00FB2A1E"/>
    <w:rsid w:val="00FB3103"/>
    <w:rsid w:val="00FB3303"/>
    <w:rsid w:val="00FB3D31"/>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429F"/>
    <w:rsid w:val="00FC7072"/>
    <w:rsid w:val="00FC72CA"/>
    <w:rsid w:val="00FC7581"/>
    <w:rsid w:val="00FC7A3C"/>
    <w:rsid w:val="00FC7F67"/>
    <w:rsid w:val="00FD04EB"/>
    <w:rsid w:val="00FD102F"/>
    <w:rsid w:val="00FD1E43"/>
    <w:rsid w:val="00FD20A7"/>
    <w:rsid w:val="00FD257C"/>
    <w:rsid w:val="00FD25DE"/>
    <w:rsid w:val="00FD266F"/>
    <w:rsid w:val="00FD3090"/>
    <w:rsid w:val="00FD3E47"/>
    <w:rsid w:val="00FD3F72"/>
    <w:rsid w:val="00FD4267"/>
    <w:rsid w:val="00FD49C2"/>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9C5"/>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5CCC"/>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qFormat/>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1">
    <w:name w:val="Comment Text Char1"/>
    <w:uiPriority w:val="99"/>
    <w:qFormat/>
    <w:rsid w:val="005B5338"/>
    <w:rPr>
      <w:rFonts w:ascii="Calibri" w:eastAsia="SimSun" w:hAnsi="Calibri"/>
      <w:sz w:val="21"/>
      <w:szCs w:val="21"/>
      <w:lang w:val="zh-CN" w:eastAsia="zh-CN"/>
    </w:rPr>
  </w:style>
  <w:style w:type="character" w:customStyle="1" w:styleId="15">
    <w:name w:val="15"/>
    <w:rsid w:val="00794E09"/>
    <w:rPr>
      <w:rFonts w:ascii="CG Times (WN)" w:hAnsi="CG Times (WN)" w:hint="default"/>
      <w:color w:val="0000FF"/>
      <w:u w:val="single"/>
    </w:rPr>
  </w:style>
  <w:style w:type="character" w:customStyle="1" w:styleId="B3Char2">
    <w:name w:val="B3 Char2"/>
    <w:qFormat/>
    <w:rsid w:val="00F83A51"/>
    <w:rPr>
      <w:rFonts w:eastAsia="Times New Roman"/>
      <w:lang w:val="en-GB" w:eastAsia="ja-JP"/>
    </w:rPr>
  </w:style>
  <w:style w:type="paragraph" w:customStyle="1" w:styleId="Proposallist">
    <w:name w:val="Proposal list"/>
    <w:basedOn w:val="Proposal"/>
    <w:link w:val="ProposallistChar"/>
    <w:qFormat/>
    <w:rsid w:val="00E71467"/>
    <w:pPr>
      <w:tabs>
        <w:tab w:val="left" w:pos="1560"/>
      </w:tabs>
      <w:overflowPunct/>
      <w:autoSpaceDE/>
      <w:autoSpaceDN/>
      <w:adjustRightInd/>
      <w:spacing w:line="240" w:lineRule="auto"/>
      <w:ind w:left="1560" w:hanging="1134"/>
      <w:jc w:val="left"/>
    </w:pPr>
    <w:rPr>
      <w:rFonts w:eastAsia="Times New Roman"/>
      <w:b/>
    </w:rPr>
  </w:style>
  <w:style w:type="character" w:customStyle="1" w:styleId="ProposallistChar">
    <w:name w:val="Proposal list Char"/>
    <w:basedOn w:val="ProposalChar"/>
    <w:link w:val="Proposallist"/>
    <w:rsid w:val="00E71467"/>
    <w:rPr>
      <w:rFonts w:ascii="Times New Roman" w:eastAsia="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7784">
      <w:bodyDiv w:val="1"/>
      <w:marLeft w:val="0"/>
      <w:marRight w:val="0"/>
      <w:marTop w:val="0"/>
      <w:marBottom w:val="0"/>
      <w:divBdr>
        <w:top w:val="none" w:sz="0" w:space="0" w:color="auto"/>
        <w:left w:val="none" w:sz="0" w:space="0" w:color="auto"/>
        <w:bottom w:val="none" w:sz="0" w:space="0" w:color="auto"/>
        <w:right w:val="none" w:sz="0" w:space="0" w:color="auto"/>
      </w:divBdr>
    </w:div>
    <w:div w:id="94058791">
      <w:bodyDiv w:val="1"/>
      <w:marLeft w:val="0"/>
      <w:marRight w:val="0"/>
      <w:marTop w:val="0"/>
      <w:marBottom w:val="0"/>
      <w:divBdr>
        <w:top w:val="none" w:sz="0" w:space="0" w:color="auto"/>
        <w:left w:val="none" w:sz="0" w:space="0" w:color="auto"/>
        <w:bottom w:val="none" w:sz="0" w:space="0" w:color="auto"/>
        <w:right w:val="none" w:sz="0" w:space="0" w:color="auto"/>
      </w:divBdr>
    </w:div>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18858259">
      <w:bodyDiv w:val="1"/>
      <w:marLeft w:val="0"/>
      <w:marRight w:val="0"/>
      <w:marTop w:val="0"/>
      <w:marBottom w:val="0"/>
      <w:divBdr>
        <w:top w:val="none" w:sz="0" w:space="0" w:color="auto"/>
        <w:left w:val="none" w:sz="0" w:space="0" w:color="auto"/>
        <w:bottom w:val="none" w:sz="0" w:space="0" w:color="auto"/>
        <w:right w:val="none" w:sz="0" w:space="0" w:color="auto"/>
      </w:divBdr>
    </w:div>
    <w:div w:id="563417961">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638388317">
      <w:bodyDiv w:val="1"/>
      <w:marLeft w:val="0"/>
      <w:marRight w:val="0"/>
      <w:marTop w:val="0"/>
      <w:marBottom w:val="0"/>
      <w:divBdr>
        <w:top w:val="none" w:sz="0" w:space="0" w:color="auto"/>
        <w:left w:val="none" w:sz="0" w:space="0" w:color="auto"/>
        <w:bottom w:val="none" w:sz="0" w:space="0" w:color="auto"/>
        <w:right w:val="none" w:sz="0" w:space="0" w:color="auto"/>
      </w:divBdr>
    </w:div>
    <w:div w:id="705831105">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791901603">
      <w:bodyDiv w:val="1"/>
      <w:marLeft w:val="0"/>
      <w:marRight w:val="0"/>
      <w:marTop w:val="0"/>
      <w:marBottom w:val="0"/>
      <w:divBdr>
        <w:top w:val="none" w:sz="0" w:space="0" w:color="auto"/>
        <w:left w:val="none" w:sz="0" w:space="0" w:color="auto"/>
        <w:bottom w:val="none" w:sz="0" w:space="0" w:color="auto"/>
        <w:right w:val="none" w:sz="0" w:space="0" w:color="auto"/>
      </w:divBdr>
      <w:divsChild>
        <w:div w:id="2001082988">
          <w:marLeft w:val="1800"/>
          <w:marRight w:val="0"/>
          <w:marTop w:val="0"/>
          <w:marBottom w:val="0"/>
          <w:divBdr>
            <w:top w:val="none" w:sz="0" w:space="0" w:color="auto"/>
            <w:left w:val="none" w:sz="0" w:space="0" w:color="auto"/>
            <w:bottom w:val="none" w:sz="0" w:space="0" w:color="auto"/>
            <w:right w:val="none" w:sz="0" w:space="0" w:color="auto"/>
          </w:divBdr>
        </w:div>
        <w:div w:id="1734501323">
          <w:marLeft w:val="1800"/>
          <w:marRight w:val="0"/>
          <w:marTop w:val="0"/>
          <w:marBottom w:val="0"/>
          <w:divBdr>
            <w:top w:val="none" w:sz="0" w:space="0" w:color="auto"/>
            <w:left w:val="none" w:sz="0" w:space="0" w:color="auto"/>
            <w:bottom w:val="none" w:sz="0" w:space="0" w:color="auto"/>
            <w:right w:val="none" w:sz="0" w:space="0" w:color="auto"/>
          </w:divBdr>
        </w:div>
        <w:div w:id="2100329242">
          <w:marLeft w:val="1800"/>
          <w:marRight w:val="0"/>
          <w:marTop w:val="0"/>
          <w:marBottom w:val="0"/>
          <w:divBdr>
            <w:top w:val="none" w:sz="0" w:space="0" w:color="auto"/>
            <w:left w:val="none" w:sz="0" w:space="0" w:color="auto"/>
            <w:bottom w:val="none" w:sz="0" w:space="0" w:color="auto"/>
            <w:right w:val="none" w:sz="0" w:space="0" w:color="auto"/>
          </w:divBdr>
        </w:div>
      </w:divsChild>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924460597">
      <w:bodyDiv w:val="1"/>
      <w:marLeft w:val="0"/>
      <w:marRight w:val="0"/>
      <w:marTop w:val="0"/>
      <w:marBottom w:val="0"/>
      <w:divBdr>
        <w:top w:val="none" w:sz="0" w:space="0" w:color="auto"/>
        <w:left w:val="none" w:sz="0" w:space="0" w:color="auto"/>
        <w:bottom w:val="none" w:sz="0" w:space="0" w:color="auto"/>
        <w:right w:val="none" w:sz="0" w:space="0" w:color="auto"/>
      </w:divBdr>
    </w:div>
    <w:div w:id="932279494">
      <w:bodyDiv w:val="1"/>
      <w:marLeft w:val="0"/>
      <w:marRight w:val="0"/>
      <w:marTop w:val="0"/>
      <w:marBottom w:val="0"/>
      <w:divBdr>
        <w:top w:val="none" w:sz="0" w:space="0" w:color="auto"/>
        <w:left w:val="none" w:sz="0" w:space="0" w:color="auto"/>
        <w:bottom w:val="none" w:sz="0" w:space="0" w:color="auto"/>
        <w:right w:val="none" w:sz="0" w:space="0" w:color="auto"/>
      </w:divBdr>
    </w:div>
    <w:div w:id="1013335461">
      <w:bodyDiv w:val="1"/>
      <w:marLeft w:val="0"/>
      <w:marRight w:val="0"/>
      <w:marTop w:val="0"/>
      <w:marBottom w:val="0"/>
      <w:divBdr>
        <w:top w:val="none" w:sz="0" w:space="0" w:color="auto"/>
        <w:left w:val="none" w:sz="0" w:space="0" w:color="auto"/>
        <w:bottom w:val="none" w:sz="0" w:space="0" w:color="auto"/>
        <w:right w:val="none" w:sz="0" w:space="0" w:color="auto"/>
      </w:divBdr>
    </w:div>
    <w:div w:id="1018576885">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192760715">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65663366">
      <w:bodyDiv w:val="1"/>
      <w:marLeft w:val="0"/>
      <w:marRight w:val="0"/>
      <w:marTop w:val="0"/>
      <w:marBottom w:val="0"/>
      <w:divBdr>
        <w:top w:val="none" w:sz="0" w:space="0" w:color="auto"/>
        <w:left w:val="none" w:sz="0" w:space="0" w:color="auto"/>
        <w:bottom w:val="none" w:sz="0" w:space="0" w:color="auto"/>
        <w:right w:val="none" w:sz="0" w:space="0" w:color="auto"/>
      </w:divBdr>
    </w:div>
    <w:div w:id="1480338407">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788692602">
      <w:bodyDiv w:val="1"/>
      <w:marLeft w:val="0"/>
      <w:marRight w:val="0"/>
      <w:marTop w:val="0"/>
      <w:marBottom w:val="0"/>
      <w:divBdr>
        <w:top w:val="none" w:sz="0" w:space="0" w:color="auto"/>
        <w:left w:val="none" w:sz="0" w:space="0" w:color="auto"/>
        <w:bottom w:val="none" w:sz="0" w:space="0" w:color="auto"/>
        <w:right w:val="none" w:sz="0" w:space="0" w:color="auto"/>
      </w:divBdr>
      <w:divsChild>
        <w:div w:id="759330824">
          <w:marLeft w:val="1166"/>
          <w:marRight w:val="0"/>
          <w:marTop w:val="0"/>
          <w:marBottom w:val="0"/>
          <w:divBdr>
            <w:top w:val="none" w:sz="0" w:space="0" w:color="auto"/>
            <w:left w:val="none" w:sz="0" w:space="0" w:color="auto"/>
            <w:bottom w:val="none" w:sz="0" w:space="0" w:color="auto"/>
            <w:right w:val="none" w:sz="0" w:space="0" w:color="auto"/>
          </w:divBdr>
        </w:div>
      </w:divsChild>
    </w:div>
    <w:div w:id="1803036023">
      <w:bodyDiv w:val="1"/>
      <w:marLeft w:val="0"/>
      <w:marRight w:val="0"/>
      <w:marTop w:val="0"/>
      <w:marBottom w:val="0"/>
      <w:divBdr>
        <w:top w:val="none" w:sz="0" w:space="0" w:color="auto"/>
        <w:left w:val="none" w:sz="0" w:space="0" w:color="auto"/>
        <w:bottom w:val="none" w:sz="0" w:space="0" w:color="auto"/>
        <w:right w:val="none" w:sz="0" w:space="0" w:color="auto"/>
      </w:divBdr>
    </w:div>
    <w:div w:id="1920362149">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43EF8-91A6-4062-85EE-35F5D1C1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 HiSilicon</cp:lastModifiedBy>
  <cp:revision>31</cp:revision>
  <dcterms:created xsi:type="dcterms:W3CDTF">2023-08-04T10:18:00Z</dcterms:created>
  <dcterms:modified xsi:type="dcterms:W3CDTF">2023-08-10T13:49:00Z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(3)9vvL46Dfr+GATE1eEjt/pnu4U2scRellh9ZKACmgdHgUpUI0HcJrmaq9Php0ZVETvCXhNtmy
r7iFnDVYHnYOGoc/N2rPuEpDQp+zA6YN8bHFKfRtR5VpOqb9ZIBcUd5nMLLpIUqjkm2SFe9N
cldsjT0598BU6E5ckUzI4dXMu8EdGxP+RbdPUqzCdCEoMt1NwPV1eoeMtW0GKKT1rG7sNZiE
fA4viwuBgKpIZq0uuW</vt:lpwstr>
  </property>
  <property fmtid="{D5CDD505-2E9C-101B-9397-08002B2CF9AE}" pid="7" name="_2015_ms_pID_7253431">
    <vt:lpwstr>k9+AsHzj00/NyO9qzWgFlWnCab9NWaEPgSiyZ27I7tK6JlqCtTkL6Z
evmOmKTbvWltApDZ3g9Rw+f1xz+9FV848FUnxQXsz3uR8r+FALKc89KzhCC8PRVTPF8J4JKh
1+/mYOCEAX6saaVC3GbmNn9cbQdVGCt0DLhWdxWOEwsVu28c6BnYaXSI0UpQ8ZLd+eqhboyh
zOnv/YRaVsJdOAglPagEhmmn4eJsrc/83fDX</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7Q==</vt:lpwstr>
  </property>
</Properties>
</file>